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四川大学华西口腔医院医学伦理委员会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涉及人的生物样本、信息数据来源证明书</w:t>
      </w:r>
    </w:p>
    <w:p>
      <w:pPr>
        <w:jc w:val="right"/>
        <w:rPr>
          <w:rFonts w:hint="eastAsia"/>
          <w:sz w:val="22"/>
          <w:szCs w:val="28"/>
          <w:lang w:val="en-US" w:eastAsia="zh-CN"/>
        </w:rPr>
      </w:pPr>
    </w:p>
    <w:p>
      <w:pPr>
        <w:jc w:val="right"/>
        <w:rPr>
          <w:rFonts w:hint="eastAsia"/>
          <w:sz w:val="22"/>
          <w:szCs w:val="28"/>
          <w:lang w:val="en-US" w:eastAsia="zh-CN"/>
        </w:rPr>
      </w:pPr>
    </w:p>
    <w:p>
      <w:pPr>
        <w:jc w:val="right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版本号：V1.1</w:t>
      </w:r>
    </w:p>
    <w:tbl>
      <w:tblPr>
        <w:tblStyle w:val="3"/>
        <w:tblW w:w="0" w:type="auto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290"/>
        <w:gridCol w:w="1340"/>
        <w:gridCol w:w="110"/>
        <w:gridCol w:w="1452"/>
        <w:gridCol w:w="828"/>
        <w:gridCol w:w="55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16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项目性质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样本来源单位</w:t>
            </w:r>
          </w:p>
        </w:tc>
        <w:tc>
          <w:tcPr>
            <w:tcW w:w="711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129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体液采集</w:t>
            </w:r>
          </w:p>
        </w:tc>
        <w:tc>
          <w:tcPr>
            <w:tcW w:w="1340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组织采集</w:t>
            </w:r>
          </w:p>
        </w:tc>
        <w:tc>
          <w:tcPr>
            <w:tcW w:w="1562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生物样本库</w:t>
            </w:r>
          </w:p>
        </w:tc>
        <w:tc>
          <w:tcPr>
            <w:tcW w:w="2924" w:type="dxa"/>
            <w:gridSpan w:val="3"/>
            <w:tcBorders>
              <w:left w:val="nil"/>
            </w:tcBorders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8" w:hRule="atLeas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获取过程</w:t>
            </w:r>
          </w:p>
        </w:tc>
        <w:tc>
          <w:tcPr>
            <w:tcW w:w="7116" w:type="dxa"/>
            <w:gridSpan w:val="7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样本种类、获取方式、预期风险及防范措施：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剩余样本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处理方式</w:t>
            </w:r>
          </w:p>
        </w:tc>
        <w:tc>
          <w:tcPr>
            <w:tcW w:w="26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安全销毁</w:t>
            </w:r>
          </w:p>
        </w:tc>
        <w:tc>
          <w:tcPr>
            <w:tcW w:w="239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保存留用</w:t>
            </w:r>
          </w:p>
        </w:tc>
        <w:tc>
          <w:tcPr>
            <w:tcW w:w="2096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转做其它用途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2" w:hRule="atLeast"/>
        </w:trPr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6" w:type="dxa"/>
            <w:gridSpan w:val="7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剩余样本处理方式说明：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知情同意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现场获取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已获取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已有广泛性知情同意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拟免除知情同意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6" w:hRule="atLeas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样本来源单位意见</w:t>
            </w:r>
            <w:bookmarkStart w:id="0" w:name="_GoBack"/>
            <w:bookmarkEnd w:id="0"/>
          </w:p>
        </w:tc>
        <w:tc>
          <w:tcPr>
            <w:tcW w:w="7116" w:type="dxa"/>
            <w:gridSpan w:val="7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730" w:firstLineChars="13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负责人签名/单位公章：</w:t>
            </w:r>
          </w:p>
          <w:p>
            <w:pPr>
              <w:ind w:firstLine="3570" w:firstLineChars="17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jc w:val="both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OGFlZGJmODUzNzcwYzhhYTE3MzY5NDhiNmY5MDAifQ=="/>
    <w:docVar w:name="KSO_WPS_MARK_KEY" w:val="654ca037-adfd-4d4d-a58a-8a25412230f9"/>
  </w:docVars>
  <w:rsids>
    <w:rsidRoot w:val="313820EE"/>
    <w:rsid w:val="03667C72"/>
    <w:rsid w:val="0C234952"/>
    <w:rsid w:val="107E03A5"/>
    <w:rsid w:val="313820EE"/>
    <w:rsid w:val="53862850"/>
    <w:rsid w:val="5EA457B4"/>
    <w:rsid w:val="627E38CF"/>
    <w:rsid w:val="7FBFFCDE"/>
    <w:rsid w:val="AFFDD7D0"/>
    <w:rsid w:val="FDBCE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226</Characters>
  <Lines>0</Lines>
  <Paragraphs>0</Paragraphs>
  <TotalTime>5</TotalTime>
  <ScaleCrop>false</ScaleCrop>
  <LinksUpToDate>false</LinksUpToDate>
  <CharactersWithSpaces>234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2023-03-20T14:58:00Z</dcterms:created>
  <dc:creator>PUMA</dc:creator>
  <cp:lastModifiedBy>李林霖</cp:lastModifiedBy>
  <cp:lastPrinted>2023-06-29T11:02:00Z</cp:lastPrinted>
  <dcterms:modified xsi:type="dcterms:W3CDTF">2025-09-04T13:07:08Z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4FAB8DD26F2D457C830751B373EE270A</vt:lpwstr>
  </property>
</Properties>
</file>