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四川大学华西口腔医院医学伦理委员会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涉及人的生物样本、信息数据来源证明书</w:t>
      </w:r>
    </w:p>
    <w:p>
      <w:pPr>
        <w:jc w:val="right"/>
        <w:rPr>
          <w:rFonts w:hint="eastAsia"/>
          <w:sz w:val="22"/>
          <w:szCs w:val="28"/>
          <w:lang w:val="en-US" w:eastAsia="zh-CN"/>
        </w:rPr>
      </w:pPr>
    </w:p>
    <w:p>
      <w:pPr>
        <w:jc w:val="right"/>
        <w:rPr>
          <w:rFonts w:hint="eastAsia"/>
          <w:sz w:val="22"/>
          <w:szCs w:val="28"/>
          <w:lang w:val="en-US" w:eastAsia="zh-CN"/>
        </w:rPr>
      </w:pPr>
    </w:p>
    <w:p>
      <w:pPr>
        <w:jc w:val="right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版本号：V1.0</w:t>
      </w:r>
    </w:p>
    <w:tbl>
      <w:tblPr>
        <w:tblStyle w:val="3"/>
        <w:tblW w:w="0" w:type="auto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290"/>
        <w:gridCol w:w="1340"/>
        <w:gridCol w:w="110"/>
        <w:gridCol w:w="1230"/>
        <w:gridCol w:w="1050"/>
        <w:gridCol w:w="55"/>
        <w:gridCol w:w="1025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16" w:type="dxa"/>
            <w:gridSpan w:val="8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项目负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责人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项目性质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样本来源单位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样本来源科室负责人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129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体液采集</w:t>
            </w:r>
          </w:p>
        </w:tc>
        <w:tc>
          <w:tcPr>
            <w:tcW w:w="1340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组织采集</w:t>
            </w:r>
          </w:p>
        </w:tc>
        <w:tc>
          <w:tcPr>
            <w:tcW w:w="1340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临床检查</w:t>
            </w: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生物样本库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既往病历资料</w:t>
            </w:r>
          </w:p>
        </w:tc>
        <w:tc>
          <w:tcPr>
            <w:tcW w:w="101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访问调查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获取过程</w:t>
            </w:r>
          </w:p>
        </w:tc>
        <w:tc>
          <w:tcPr>
            <w:tcW w:w="7116" w:type="dxa"/>
            <w:gridSpan w:val="8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样本种类、获取方式、预期风险及防范措施：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剩余样本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处理方式</w:t>
            </w:r>
          </w:p>
        </w:tc>
        <w:tc>
          <w:tcPr>
            <w:tcW w:w="26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安全销毁</w:t>
            </w:r>
          </w:p>
        </w:tc>
        <w:tc>
          <w:tcPr>
            <w:tcW w:w="239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保存留用</w:t>
            </w:r>
          </w:p>
        </w:tc>
        <w:tc>
          <w:tcPr>
            <w:tcW w:w="2096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转做其它用途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16" w:type="dxa"/>
            <w:gridSpan w:val="8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剩余样本处理方式说明：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知情同意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现场获取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已获取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已有广泛性知情同意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拟免除知情同意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样本来源科室意见</w:t>
            </w:r>
          </w:p>
        </w:tc>
        <w:tc>
          <w:tcPr>
            <w:tcW w:w="7116" w:type="dxa"/>
            <w:gridSpan w:val="8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3570" w:firstLineChars="17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科室负责人：</w:t>
            </w:r>
          </w:p>
          <w:p>
            <w:pPr>
              <w:ind w:firstLine="3570" w:firstLineChars="17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jc w:val="both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OGFlZGJmODUzNzcwYzhhYTE3MzY5NDhiNmY5MDAifQ=="/>
    <w:docVar w:name="KSO_WPS_MARK_KEY" w:val="654ca037-adfd-4d4d-a58a-8a25412230f9"/>
  </w:docVars>
  <w:rsids>
    <w:rsidRoot w:val="313820EE"/>
    <w:rsid w:val="03667C72"/>
    <w:rsid w:val="0C234952"/>
    <w:rsid w:val="107E03A5"/>
    <w:rsid w:val="313820EE"/>
    <w:rsid w:val="53862850"/>
    <w:rsid w:val="627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226</Characters>
  <Lines>0</Lines>
  <Paragraphs>0</Paragraphs>
  <TotalTime>4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2023-03-20T06:58:00Z</dcterms:created>
  <dc:creator>PUMA</dc:creator>
  <cp:lastModifiedBy>西红柿</cp:lastModifiedBy>
  <cp:lastPrinted>2023-06-29T03:02:23Z</cp:lastPrinted>
  <dcterms:modified xsi:type="dcterms:W3CDTF">2023-06-29T03:05:40Z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4FAB8DD26F2D457C830751B373EE270A</vt:lpwstr>
  </property>
</Properties>
</file>