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C44249">
      <w:pPr>
        <w:rPr>
          <w:rFonts w:ascii="Times New Roman" w:hAnsi="Times New Roman" w:eastAsia="黑体" w:cs="Times New Roman"/>
          <w:bCs/>
          <w:sz w:val="28"/>
        </w:rPr>
      </w:pPr>
    </w:p>
    <w:tbl>
      <w:tblPr>
        <w:tblStyle w:val="8"/>
        <w:tblW w:w="3880" w:type="dxa"/>
        <w:tblInd w:w="477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4" w:type="dxa"/>
          <w:bottom w:w="0" w:type="dxa"/>
          <w:right w:w="14" w:type="dxa"/>
        </w:tblCellMar>
      </w:tblPr>
      <w:tblGrid>
        <w:gridCol w:w="2080"/>
        <w:gridCol w:w="1800"/>
      </w:tblGrid>
      <w:tr w14:paraId="58D00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trPr>
        <w:tc>
          <w:tcPr>
            <w:tcW w:w="2080" w:type="dxa"/>
            <w:vAlign w:val="center"/>
          </w:tcPr>
          <w:p w14:paraId="08148166">
            <w:pPr>
              <w:snapToGrid w:val="0"/>
              <w:jc w:val="center"/>
              <w:rPr>
                <w:rFonts w:ascii="Times New Roman" w:hAnsi="Times New Roman" w:eastAsia="楷体_GB2312" w:cs="Times New Roman"/>
              </w:rPr>
            </w:pPr>
            <w:r>
              <w:rPr>
                <w:rFonts w:ascii="Times New Roman" w:hAnsi="Times New Roman" w:eastAsia="楷体_GB2312" w:cs="Times New Roman"/>
              </w:rPr>
              <w:t>批准立项年份</w:t>
            </w:r>
          </w:p>
        </w:tc>
        <w:tc>
          <w:tcPr>
            <w:tcW w:w="1800" w:type="dxa"/>
            <w:vAlign w:val="center"/>
          </w:tcPr>
          <w:p w14:paraId="15B4EC0A">
            <w:pPr>
              <w:snapToGrid w:val="0"/>
              <w:jc w:val="center"/>
              <w:rPr>
                <w:rFonts w:ascii="Times New Roman" w:hAnsi="Times New Roman" w:eastAsia="楷体_GB2312" w:cs="Times New Roman"/>
              </w:rPr>
            </w:pPr>
            <w:r>
              <w:rPr>
                <w:rFonts w:hint="eastAsia" w:ascii="Times New Roman" w:hAnsi="Times New Roman" w:eastAsia="楷体_GB2312" w:cs="Times New Roman"/>
              </w:rPr>
              <w:t>2007</w:t>
            </w:r>
          </w:p>
        </w:tc>
      </w:tr>
      <w:tr w14:paraId="36AF6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trPr>
        <w:tc>
          <w:tcPr>
            <w:tcW w:w="2080" w:type="dxa"/>
            <w:vAlign w:val="center"/>
          </w:tcPr>
          <w:p w14:paraId="3FD4EBA6">
            <w:pPr>
              <w:snapToGrid w:val="0"/>
              <w:jc w:val="center"/>
              <w:rPr>
                <w:rFonts w:ascii="Times New Roman" w:hAnsi="Times New Roman" w:eastAsia="楷体_GB2312" w:cs="Times New Roman"/>
              </w:rPr>
            </w:pPr>
            <w:r>
              <w:rPr>
                <w:rFonts w:ascii="Times New Roman" w:hAnsi="Times New Roman" w:eastAsia="楷体_GB2312" w:cs="Times New Roman"/>
              </w:rPr>
              <w:t>通过验收年份</w:t>
            </w:r>
          </w:p>
        </w:tc>
        <w:tc>
          <w:tcPr>
            <w:tcW w:w="1800" w:type="dxa"/>
            <w:vAlign w:val="center"/>
          </w:tcPr>
          <w:p w14:paraId="66611D56">
            <w:pPr>
              <w:snapToGrid w:val="0"/>
              <w:jc w:val="center"/>
              <w:rPr>
                <w:rFonts w:ascii="Times New Roman" w:hAnsi="Times New Roman" w:eastAsia="楷体_GB2312" w:cs="Times New Roman"/>
              </w:rPr>
            </w:pPr>
            <w:r>
              <w:rPr>
                <w:rFonts w:hint="eastAsia" w:ascii="Times New Roman" w:hAnsi="Times New Roman" w:eastAsia="楷体_GB2312" w:cs="Times New Roman"/>
              </w:rPr>
              <w:t>2012</w:t>
            </w:r>
          </w:p>
        </w:tc>
      </w:tr>
    </w:tbl>
    <w:p w14:paraId="02A3C5CE">
      <w:pPr>
        <w:rPr>
          <w:rFonts w:ascii="Times New Roman" w:hAnsi="Times New Roman" w:eastAsia="楷体_GB2312" w:cs="Times New Roman"/>
          <w:sz w:val="28"/>
        </w:rPr>
      </w:pPr>
    </w:p>
    <w:p w14:paraId="5FE82CAD">
      <w:pPr>
        <w:rPr>
          <w:rFonts w:ascii="Times New Roman" w:hAnsi="Times New Roman" w:eastAsia="楷体_GB2312" w:cs="Times New Roman"/>
          <w:sz w:val="28"/>
        </w:rPr>
      </w:pPr>
    </w:p>
    <w:p w14:paraId="6906D592">
      <w:pPr>
        <w:rPr>
          <w:rFonts w:ascii="Times New Roman" w:hAnsi="Times New Roman" w:eastAsia="楷体_GB2312" w:cs="Times New Roman"/>
          <w:sz w:val="28"/>
        </w:rPr>
      </w:pPr>
    </w:p>
    <w:p w14:paraId="463C2206">
      <w:pPr>
        <w:jc w:val="center"/>
        <w:rPr>
          <w:rFonts w:ascii="Times New Roman" w:hAnsi="Times New Roman" w:eastAsia="楷体_GB2312" w:cs="Times New Roman"/>
          <w:sz w:val="28"/>
        </w:rPr>
      </w:pPr>
      <w:r>
        <w:rPr>
          <w:rFonts w:hint="eastAsia" w:ascii="Times New Roman" w:hAnsi="Times New Roman" w:eastAsia="黑体" w:cs="Times New Roman"/>
          <w:b/>
          <w:sz w:val="44"/>
        </w:rPr>
        <w:t>国家级实验教学示范中心年度报告</w:t>
      </w:r>
    </w:p>
    <w:p w14:paraId="0BF20DCF">
      <w:pPr>
        <w:jc w:val="center"/>
        <w:rPr>
          <w:rFonts w:ascii="Times New Roman" w:hAnsi="Times New Roman" w:eastAsia="楷体_GB2312" w:cs="Times New Roman"/>
          <w:sz w:val="28"/>
        </w:rPr>
      </w:pPr>
      <w:r>
        <w:rPr>
          <w:rFonts w:ascii="Times New Roman" w:hAnsi="Times New Roman" w:eastAsia="楷体_GB2312" w:cs="Times New Roman"/>
          <w:sz w:val="28"/>
        </w:rPr>
        <w:t>（20</w:t>
      </w:r>
      <w:r>
        <w:rPr>
          <w:rFonts w:hint="eastAsia" w:ascii="Times New Roman" w:hAnsi="Times New Roman" w:eastAsia="楷体_GB2312" w:cs="Times New Roman"/>
          <w:sz w:val="28"/>
        </w:rPr>
        <w:t>2</w:t>
      </w:r>
      <w:r>
        <w:rPr>
          <w:rFonts w:hint="eastAsia" w:ascii="Times New Roman" w:hAnsi="Times New Roman" w:eastAsia="楷体_GB2312" w:cs="Times New Roman"/>
          <w:sz w:val="28"/>
          <w:lang w:val="en-US" w:eastAsia="zh-CN"/>
        </w:rPr>
        <w:t>5</w:t>
      </w:r>
      <w:r>
        <w:rPr>
          <w:rFonts w:ascii="Times New Roman" w:hAnsi="Times New Roman" w:eastAsia="楷体_GB2312" w:cs="Times New Roman"/>
          <w:sz w:val="28"/>
        </w:rPr>
        <w:t>年1月</w:t>
      </w:r>
      <w:r>
        <w:rPr>
          <w:rFonts w:hint="eastAsia" w:ascii="Times New Roman" w:hAnsi="Times New Roman" w:eastAsia="楷体_GB2312" w:cs="Times New Roman"/>
          <w:sz w:val="28"/>
        </w:rPr>
        <w:t>1日</w:t>
      </w:r>
      <w:r>
        <w:rPr>
          <w:rFonts w:ascii="Times New Roman" w:hAnsi="Times New Roman" w:eastAsia="楷体_GB2312" w:cs="Times New Roman"/>
          <w:sz w:val="28"/>
        </w:rPr>
        <w:t>——20</w:t>
      </w:r>
      <w:r>
        <w:rPr>
          <w:rFonts w:hint="eastAsia" w:ascii="Times New Roman" w:hAnsi="Times New Roman" w:eastAsia="楷体_GB2312" w:cs="Times New Roman"/>
          <w:sz w:val="28"/>
        </w:rPr>
        <w:t>2</w:t>
      </w:r>
      <w:r>
        <w:rPr>
          <w:rFonts w:hint="eastAsia" w:ascii="Times New Roman" w:hAnsi="Times New Roman" w:eastAsia="楷体_GB2312" w:cs="Times New Roman"/>
          <w:sz w:val="28"/>
          <w:lang w:val="en-US" w:eastAsia="zh-CN"/>
        </w:rPr>
        <w:t>5</w:t>
      </w:r>
      <w:r>
        <w:rPr>
          <w:rFonts w:ascii="Times New Roman" w:hAnsi="Times New Roman" w:eastAsia="楷体_GB2312" w:cs="Times New Roman"/>
          <w:sz w:val="28"/>
        </w:rPr>
        <w:t>年12月</w:t>
      </w:r>
      <w:r>
        <w:rPr>
          <w:rFonts w:hint="eastAsia" w:ascii="Times New Roman" w:hAnsi="Times New Roman" w:eastAsia="楷体_GB2312" w:cs="Times New Roman"/>
          <w:sz w:val="28"/>
        </w:rPr>
        <w:t>31日</w:t>
      </w:r>
      <w:r>
        <w:rPr>
          <w:rFonts w:ascii="Times New Roman" w:hAnsi="Times New Roman" w:eastAsia="楷体_GB2312" w:cs="Times New Roman"/>
          <w:sz w:val="28"/>
        </w:rPr>
        <w:t>）</w:t>
      </w:r>
    </w:p>
    <w:p w14:paraId="60087891">
      <w:pPr>
        <w:rPr>
          <w:rFonts w:ascii="Times New Roman" w:hAnsi="Times New Roman" w:eastAsia="楷体_GB2312" w:cs="Times New Roman"/>
          <w:sz w:val="28"/>
        </w:rPr>
      </w:pPr>
    </w:p>
    <w:p w14:paraId="40063F9F">
      <w:pPr>
        <w:rPr>
          <w:rFonts w:ascii="Times New Roman" w:hAnsi="Times New Roman" w:eastAsia="楷体_GB2312" w:cs="Times New Roman"/>
          <w:sz w:val="28"/>
        </w:rPr>
      </w:pPr>
    </w:p>
    <w:p w14:paraId="4AC394A6">
      <w:pPr>
        <w:rPr>
          <w:rFonts w:ascii="Times New Roman" w:hAnsi="Times New Roman" w:eastAsia="楷体_GB2312" w:cs="Times New Roman"/>
          <w:b/>
          <w:sz w:val="28"/>
        </w:rPr>
      </w:pPr>
    </w:p>
    <w:p w14:paraId="4C2A6EA2">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示范中心名称：</w:t>
      </w:r>
      <w:r>
        <w:rPr>
          <w:rFonts w:ascii="楷体" w:hAnsi="楷体" w:eastAsia="楷体"/>
          <w:b/>
          <w:sz w:val="28"/>
          <w:szCs w:val="28"/>
        </w:rPr>
        <w:t>华西口腔医学基础</w:t>
      </w:r>
      <w:r>
        <w:rPr>
          <w:rFonts w:hint="eastAsia" w:ascii="楷体" w:hAnsi="楷体" w:eastAsia="楷体"/>
          <w:b/>
          <w:sz w:val="28"/>
          <w:szCs w:val="28"/>
          <w:lang w:val="en-US" w:eastAsia="zh-CN"/>
        </w:rPr>
        <w:t>国家级</w:t>
      </w:r>
      <w:r>
        <w:rPr>
          <w:rFonts w:ascii="楷体" w:hAnsi="楷体" w:eastAsia="楷体"/>
          <w:b/>
          <w:sz w:val="28"/>
          <w:szCs w:val="28"/>
        </w:rPr>
        <w:t>实验教学</w:t>
      </w:r>
      <w:r>
        <w:rPr>
          <w:rFonts w:hint="eastAsia" w:ascii="楷体" w:hAnsi="楷体" w:eastAsia="楷体"/>
          <w:b/>
          <w:sz w:val="28"/>
          <w:szCs w:val="28"/>
        </w:rPr>
        <w:t>示范</w:t>
      </w:r>
      <w:r>
        <w:rPr>
          <w:rFonts w:ascii="楷体" w:hAnsi="楷体" w:eastAsia="楷体"/>
          <w:b/>
          <w:sz w:val="28"/>
          <w:szCs w:val="28"/>
        </w:rPr>
        <w:t>中心</w:t>
      </w:r>
      <w:r>
        <w:rPr>
          <w:rFonts w:hint="eastAsia" w:ascii="楷体" w:hAnsi="楷体" w:eastAsia="楷体"/>
          <w:b/>
          <w:sz w:val="28"/>
          <w:szCs w:val="28"/>
        </w:rPr>
        <w:t>（四川大学）</w:t>
      </w:r>
    </w:p>
    <w:p w14:paraId="12E31DE3">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示范中心主任：</w:t>
      </w:r>
      <w:r>
        <w:rPr>
          <w:rFonts w:hint="eastAsia" w:ascii="楷体" w:hAnsi="楷体" w:eastAsia="楷体"/>
          <w:b/>
          <w:sz w:val="28"/>
          <w:szCs w:val="28"/>
          <w:lang w:val="en-US" w:eastAsia="zh-CN"/>
        </w:rPr>
        <w:t>韩向龙</w:t>
      </w:r>
    </w:p>
    <w:p w14:paraId="2DFE498F">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示范中心联系人及联系电话：</w:t>
      </w:r>
      <w:r>
        <w:rPr>
          <w:rFonts w:hint="eastAsia" w:ascii="楷体" w:hAnsi="楷体" w:eastAsia="楷体"/>
          <w:b/>
          <w:sz w:val="28"/>
          <w:szCs w:val="28"/>
        </w:rPr>
        <w:t>郑庆华/028-85503471</w:t>
      </w:r>
    </w:p>
    <w:p w14:paraId="0F58C05A">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所在学校名称：四川大学</w:t>
      </w:r>
    </w:p>
    <w:p w14:paraId="65B6C6FE">
      <w:pPr>
        <w:spacing w:before="120" w:after="120" w:line="440" w:lineRule="exact"/>
        <w:rPr>
          <w:rFonts w:hint="default" w:ascii="Times New Roman" w:hAnsi="Times New Roman" w:eastAsia="楷体" w:cs="Times New Roman"/>
          <w:b/>
          <w:sz w:val="28"/>
          <w:szCs w:val="28"/>
          <w:lang w:val="en-US" w:eastAsia="zh-CN"/>
        </w:rPr>
      </w:pPr>
      <w:r>
        <w:rPr>
          <w:rFonts w:hint="eastAsia" w:ascii="Times New Roman" w:hAnsi="Times New Roman" w:eastAsia="楷体_GB2312" w:cs="Times New Roman"/>
          <w:b/>
          <w:sz w:val="28"/>
        </w:rPr>
        <w:t>所在学校联系人及联系电话：</w:t>
      </w:r>
      <w:r>
        <w:rPr>
          <w:rFonts w:hint="eastAsia" w:ascii="楷体" w:hAnsi="楷体" w:eastAsia="楷体"/>
          <w:b/>
          <w:sz w:val="28"/>
          <w:szCs w:val="28"/>
          <w:lang w:val="en-US" w:eastAsia="zh-CN"/>
        </w:rPr>
        <w:t>董丽萍/028-85403109；</w:t>
      </w:r>
    </w:p>
    <w:p w14:paraId="5AD80885">
      <w:pPr>
        <w:spacing w:before="120" w:after="120" w:line="440" w:lineRule="exact"/>
        <w:ind w:firstLine="3654" w:firstLineChars="1300"/>
        <w:rPr>
          <w:rFonts w:hint="default" w:ascii="Times New Roman" w:hAnsi="Times New Roman" w:eastAsia="楷体" w:cs="Times New Roman"/>
          <w:b/>
          <w:sz w:val="28"/>
          <w:szCs w:val="28"/>
          <w:lang w:val="en-US" w:eastAsia="zh-CN"/>
        </w:rPr>
      </w:pPr>
      <w:r>
        <w:rPr>
          <w:rFonts w:hint="eastAsia" w:ascii="Times New Roman" w:hAnsi="Times New Roman" w:eastAsia="楷体_GB2312" w:cs="Times New Roman"/>
          <w:b/>
          <w:sz w:val="28"/>
          <w:lang w:val="en-US" w:eastAsia="zh-CN"/>
        </w:rPr>
        <w:t>谭翼</w:t>
      </w:r>
      <w:r>
        <w:rPr>
          <w:rFonts w:hint="eastAsia" w:ascii="楷体" w:hAnsi="楷体" w:eastAsia="楷体"/>
          <w:b/>
          <w:sz w:val="28"/>
          <w:szCs w:val="28"/>
        </w:rPr>
        <w:t>/028-8540</w:t>
      </w:r>
      <w:r>
        <w:rPr>
          <w:rFonts w:hint="eastAsia" w:ascii="楷体" w:hAnsi="楷体" w:eastAsia="楷体"/>
          <w:b/>
          <w:sz w:val="28"/>
          <w:szCs w:val="28"/>
          <w:lang w:val="en-US" w:eastAsia="zh-CN"/>
        </w:rPr>
        <w:t>8508</w:t>
      </w:r>
    </w:p>
    <w:p w14:paraId="2CCBCFA0">
      <w:pPr>
        <w:jc w:val="center"/>
        <w:rPr>
          <w:rFonts w:ascii="Times New Roman" w:hAnsi="Times New Roman" w:eastAsia="楷体_GB2312" w:cs="Times New Roman"/>
          <w:sz w:val="28"/>
        </w:rPr>
      </w:pPr>
    </w:p>
    <w:p w14:paraId="21E909E3">
      <w:pPr>
        <w:jc w:val="center"/>
        <w:rPr>
          <w:rFonts w:ascii="Times New Roman" w:hAnsi="Times New Roman" w:eastAsia="楷体_GB2312" w:cs="Times New Roman"/>
          <w:sz w:val="28"/>
        </w:rPr>
      </w:pPr>
    </w:p>
    <w:p w14:paraId="042D1E5D">
      <w:pPr>
        <w:jc w:val="center"/>
        <w:rPr>
          <w:rFonts w:ascii="Times New Roman" w:hAnsi="Times New Roman" w:eastAsia="楷体_GB2312" w:cs="Times New Roman"/>
          <w:sz w:val="28"/>
        </w:rPr>
      </w:pPr>
    </w:p>
    <w:p w14:paraId="51F2818B">
      <w:pPr>
        <w:jc w:val="center"/>
        <w:rPr>
          <w:rFonts w:ascii="Times New Roman" w:hAnsi="Times New Roman" w:eastAsia="楷体_GB2312" w:cs="Times New Roman"/>
          <w:sz w:val="28"/>
        </w:rPr>
      </w:pPr>
    </w:p>
    <w:p w14:paraId="5F608E55">
      <w:pPr>
        <w:jc w:val="center"/>
        <w:rPr>
          <w:rFonts w:ascii="Times New Roman" w:hAnsi="Times New Roman" w:eastAsia="楷体_GB2312" w:cs="Times New Roman"/>
          <w:sz w:val="28"/>
        </w:rPr>
      </w:pPr>
    </w:p>
    <w:p w14:paraId="16412EBE">
      <w:pPr>
        <w:jc w:val="center"/>
        <w:rPr>
          <w:rFonts w:ascii="Times New Roman" w:hAnsi="Times New Roman" w:eastAsia="楷体_GB2312" w:cs="Times New Roman"/>
          <w:sz w:val="28"/>
        </w:rPr>
      </w:pPr>
    </w:p>
    <w:p w14:paraId="5DAAFD06">
      <w:pPr>
        <w:jc w:val="center"/>
        <w:rPr>
          <w:rFonts w:ascii="Times New Roman" w:hAnsi="Times New Roman" w:eastAsia="楷体_GB2312" w:cs="Times New Roman"/>
          <w:sz w:val="28"/>
        </w:rPr>
      </w:pPr>
    </w:p>
    <w:p w14:paraId="03B9AC65">
      <w:pPr>
        <w:jc w:val="center"/>
        <w:rPr>
          <w:rFonts w:ascii="Times New Roman" w:hAnsi="Times New Roman" w:eastAsia="楷体_GB2312" w:cs="Times New Roman"/>
          <w:sz w:val="28"/>
        </w:rPr>
      </w:pPr>
    </w:p>
    <w:p w14:paraId="051750AC">
      <w:pPr>
        <w:jc w:val="center"/>
        <w:rPr>
          <w:rFonts w:ascii="Times New Roman" w:hAnsi="Times New Roman" w:eastAsia="楷体_GB2312" w:cs="Times New Roman"/>
          <w:sz w:val="28"/>
        </w:rPr>
      </w:pPr>
    </w:p>
    <w:p w14:paraId="6A7E8FE1">
      <w:pPr>
        <w:jc w:val="center"/>
        <w:rPr>
          <w:rFonts w:ascii="Times New Roman" w:hAnsi="Times New Roman" w:eastAsia="楷体_GB2312" w:cs="Times New Roman"/>
          <w:sz w:val="28"/>
        </w:rPr>
      </w:pPr>
    </w:p>
    <w:p w14:paraId="146289D3">
      <w:pPr>
        <w:jc w:val="center"/>
        <w:rPr>
          <w:rFonts w:ascii="Times New Roman" w:hAnsi="Times New Roman" w:eastAsia="楷体_GB2312" w:cs="Times New Roman"/>
          <w:sz w:val="28"/>
        </w:rPr>
      </w:pPr>
    </w:p>
    <w:p w14:paraId="234E2A63">
      <w:pPr>
        <w:jc w:val="center"/>
        <w:rPr>
          <w:rFonts w:ascii="Times New Roman" w:hAnsi="Times New Roman" w:eastAsia="楷体_GB2312" w:cs="Times New Roman"/>
          <w:sz w:val="28"/>
        </w:rPr>
      </w:pPr>
      <w:r>
        <w:rPr>
          <w:rFonts w:hint="eastAsia" w:ascii="Times New Roman" w:hAnsi="Times New Roman" w:eastAsia="楷体_GB2312" w:cs="Times New Roman"/>
          <w:sz w:val="28"/>
          <w:lang w:val="en-US" w:eastAsia="zh-CN"/>
        </w:rPr>
        <w:t>2026</w:t>
      </w:r>
      <w:r>
        <w:rPr>
          <w:rFonts w:ascii="Times New Roman" w:hAnsi="Times New Roman" w:eastAsia="楷体_GB2312" w:cs="Times New Roman"/>
          <w:sz w:val="28"/>
        </w:rPr>
        <w:t>年</w:t>
      </w:r>
      <w:r>
        <w:rPr>
          <w:rFonts w:hint="eastAsia" w:ascii="Times New Roman" w:hAnsi="Times New Roman" w:eastAsia="楷体_GB2312" w:cs="Times New Roman"/>
          <w:sz w:val="28"/>
          <w:lang w:val="en-US" w:eastAsia="zh-CN"/>
        </w:rPr>
        <w:t>3</w:t>
      </w:r>
      <w:r>
        <w:rPr>
          <w:rFonts w:ascii="Times New Roman" w:hAnsi="Times New Roman" w:eastAsia="楷体_GB2312" w:cs="Times New Roman"/>
          <w:sz w:val="28"/>
        </w:rPr>
        <w:t>月</w:t>
      </w:r>
      <w:r>
        <w:rPr>
          <w:rFonts w:hint="eastAsia" w:ascii="Times New Roman" w:hAnsi="Times New Roman" w:eastAsia="楷体_GB2312" w:cs="Times New Roman"/>
          <w:sz w:val="28"/>
          <w:lang w:val="en-US" w:eastAsia="zh-CN"/>
        </w:rPr>
        <w:t>25</w:t>
      </w:r>
      <w:r>
        <w:rPr>
          <w:rFonts w:ascii="Times New Roman" w:hAnsi="Times New Roman" w:eastAsia="楷体_GB2312" w:cs="Times New Roman"/>
          <w:sz w:val="28"/>
        </w:rPr>
        <w:t>日填报</w:t>
      </w:r>
    </w:p>
    <w:p w14:paraId="08BCDD6D">
      <w:pPr>
        <w:widowControl/>
        <w:jc w:val="center"/>
        <w:rPr>
          <w:rFonts w:ascii="仿宋_GB2312" w:eastAsia="仿宋_GB2312" w:cs="仿宋_GB2312"/>
          <w:bCs/>
          <w:sz w:val="28"/>
          <w:szCs w:val="28"/>
        </w:rPr>
      </w:pPr>
      <w:r>
        <w:rPr>
          <w:rFonts w:ascii="仿宋_GB2312" w:eastAsia="仿宋_GB2312"/>
          <w:sz w:val="28"/>
          <w:szCs w:val="28"/>
        </w:rPr>
        <w:br w:type="page"/>
      </w:r>
      <w:r>
        <w:rPr>
          <w:rFonts w:hint="eastAsia" w:ascii="黑体" w:hAnsi="黑体" w:eastAsia="黑体"/>
          <w:sz w:val="32"/>
          <w:szCs w:val="32"/>
        </w:rPr>
        <w:t xml:space="preserve">第一部分  </w:t>
      </w:r>
      <w:r>
        <w:rPr>
          <w:rFonts w:hint="eastAsia" w:ascii="黑体" w:hAnsi="黑体" w:eastAsia="黑体" w:cs="黑体"/>
          <w:bCs/>
          <w:sz w:val="32"/>
          <w:szCs w:val="32"/>
        </w:rPr>
        <w:t>年度报告编写提纲</w:t>
      </w:r>
      <w:r>
        <w:rPr>
          <w:rFonts w:hint="eastAsia" w:ascii="黑体" w:hAnsi="黑体" w:eastAsia="黑体" w:cs="仿宋_GB2312"/>
          <w:bCs/>
          <w:sz w:val="32"/>
          <w:szCs w:val="32"/>
        </w:rPr>
        <w:t>（限</w:t>
      </w:r>
      <w:r>
        <w:rPr>
          <w:rFonts w:hint="eastAsia" w:ascii="黑体" w:hAnsi="黑体" w:eastAsia="黑体"/>
          <w:bCs/>
          <w:sz w:val="32"/>
          <w:szCs w:val="32"/>
        </w:rPr>
        <w:t>3000</w:t>
      </w:r>
      <w:r>
        <w:rPr>
          <w:rFonts w:hint="eastAsia" w:ascii="黑体" w:hAnsi="黑体" w:eastAsia="黑体" w:cs="仿宋_GB2312"/>
          <w:bCs/>
          <w:sz w:val="32"/>
          <w:szCs w:val="32"/>
        </w:rPr>
        <w:t>字以内）</w:t>
      </w:r>
    </w:p>
    <w:p w14:paraId="508760AF">
      <w:pPr>
        <w:keepNext w:val="0"/>
        <w:keepLines w:val="0"/>
        <w:pageBreakBefore w:val="0"/>
        <w:kinsoku/>
        <w:wordWrap/>
        <w:overflowPunct/>
        <w:topLinePunct w:val="0"/>
        <w:bidi w:val="0"/>
        <w:spacing w:line="360" w:lineRule="auto"/>
        <w:ind w:firstLine="560" w:firstLineChars="200"/>
        <w:textAlignment w:val="auto"/>
        <w:rPr>
          <w:rFonts w:ascii="黑体" w:hAnsi="黑体" w:eastAsia="黑体" w:cs="仿宋_GB2312"/>
          <w:sz w:val="28"/>
          <w:szCs w:val="28"/>
        </w:rPr>
      </w:pPr>
      <w:r>
        <w:rPr>
          <w:rFonts w:hint="eastAsia" w:ascii="黑体" w:hAnsi="黑体" w:eastAsia="黑体" w:cs="仿宋_GB2312"/>
          <w:sz w:val="28"/>
          <w:szCs w:val="28"/>
        </w:rPr>
        <w:t>一、人才培养工作和成效</w:t>
      </w:r>
    </w:p>
    <w:p w14:paraId="7494FB5A">
      <w:pPr>
        <w:keepNext w:val="0"/>
        <w:keepLines w:val="0"/>
        <w:pageBreakBefore w:val="0"/>
        <w:kinsoku/>
        <w:wordWrap/>
        <w:overflowPunct/>
        <w:topLinePunct w:val="0"/>
        <w:bidi w:val="0"/>
        <w:spacing w:line="360" w:lineRule="auto"/>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（一）人才培养基本情况</w:t>
      </w:r>
    </w:p>
    <w:p w14:paraId="78DF27B9">
      <w:pPr>
        <w:keepNext w:val="0"/>
        <w:keepLines w:val="0"/>
        <w:pageBreakBefore w:val="0"/>
        <w:kinsoku/>
        <w:wordWrap/>
        <w:overflowPunct/>
        <w:topLinePunct w:val="0"/>
        <w:bidi w:val="0"/>
        <w:spacing w:line="360" w:lineRule="auto"/>
        <w:ind w:firstLine="560" w:firstLineChars="200"/>
        <w:textAlignment w:val="auto"/>
        <w:rPr>
          <w:rFonts w:hint="default" w:ascii="楷体" w:hAnsi="楷体" w:eastAsia="仿宋" w:cs="仿宋_GB2312"/>
          <w:sz w:val="28"/>
          <w:szCs w:val="28"/>
          <w:lang w:val="en-US" w:eastAsia="zh-CN"/>
        </w:rPr>
      </w:pPr>
      <w:r>
        <w:rPr>
          <w:rFonts w:hint="eastAsia" w:ascii="仿宋" w:hAnsi="仿宋" w:eastAsia="仿宋" w:cs="楷体"/>
          <w:color w:val="000000"/>
          <w:sz w:val="28"/>
          <w:szCs w:val="28"/>
        </w:rPr>
        <w:t>202</w:t>
      </w:r>
      <w:r>
        <w:rPr>
          <w:rFonts w:hint="eastAsia" w:ascii="仿宋" w:hAnsi="仿宋" w:eastAsia="仿宋" w:cs="楷体"/>
          <w:color w:val="000000"/>
          <w:sz w:val="28"/>
          <w:szCs w:val="28"/>
          <w:lang w:val="en-US" w:eastAsia="zh-CN"/>
        </w:rPr>
        <w:t>5</w:t>
      </w:r>
      <w:r>
        <w:rPr>
          <w:rFonts w:hint="eastAsia" w:ascii="仿宋" w:hAnsi="仿宋" w:eastAsia="仿宋" w:cs="楷体"/>
          <w:color w:val="000000"/>
          <w:sz w:val="28"/>
          <w:szCs w:val="28"/>
        </w:rPr>
        <w:t>年度中心</w:t>
      </w:r>
      <w:r>
        <w:rPr>
          <w:rFonts w:hint="eastAsia" w:ascii="仿宋" w:hAnsi="仿宋" w:eastAsia="仿宋" w:cs="楷体"/>
          <w:color w:val="000000"/>
          <w:sz w:val="28"/>
          <w:szCs w:val="28"/>
          <w:lang w:val="en-US" w:eastAsia="zh-CN"/>
        </w:rPr>
        <w:t>面向口腔医学等6个专业</w:t>
      </w:r>
      <w:r>
        <w:rPr>
          <w:rFonts w:hint="eastAsia" w:ascii="仿宋" w:hAnsi="仿宋" w:eastAsia="仿宋" w:cs="楷体"/>
          <w:color w:val="000000"/>
          <w:sz w:val="28"/>
          <w:szCs w:val="28"/>
          <w:highlight w:val="none"/>
          <w:lang w:val="en-US" w:eastAsia="zh-CN"/>
        </w:rPr>
        <w:t>1200</w:t>
      </w:r>
      <w:r>
        <w:rPr>
          <w:rFonts w:hint="eastAsia" w:ascii="仿宋" w:hAnsi="仿宋" w:eastAsia="仿宋" w:cs="楷体"/>
          <w:color w:val="000000"/>
          <w:sz w:val="28"/>
          <w:szCs w:val="28"/>
          <w:highlight w:val="none"/>
        </w:rPr>
        <w:t>余</w:t>
      </w:r>
      <w:r>
        <w:rPr>
          <w:rFonts w:hint="eastAsia" w:ascii="仿宋" w:hAnsi="仿宋" w:eastAsia="仿宋" w:cs="楷体"/>
          <w:color w:val="000000"/>
          <w:sz w:val="28"/>
          <w:szCs w:val="28"/>
        </w:rPr>
        <w:t>学生开放，开设实验课2</w:t>
      </w:r>
      <w:r>
        <w:rPr>
          <w:rFonts w:hint="eastAsia" w:ascii="仿宋" w:hAnsi="仿宋" w:eastAsia="仿宋" w:cs="楷体"/>
          <w:color w:val="000000"/>
          <w:sz w:val="28"/>
          <w:szCs w:val="28"/>
          <w:lang w:val="en-US" w:eastAsia="zh-CN"/>
        </w:rPr>
        <w:t>2</w:t>
      </w:r>
      <w:r>
        <w:rPr>
          <w:rFonts w:hint="eastAsia" w:ascii="仿宋" w:hAnsi="仿宋" w:eastAsia="仿宋" w:cs="楷体"/>
          <w:color w:val="000000"/>
          <w:sz w:val="28"/>
          <w:szCs w:val="28"/>
        </w:rPr>
        <w:t>门</w:t>
      </w:r>
      <w:r>
        <w:rPr>
          <w:rFonts w:hint="eastAsia" w:ascii="仿宋" w:hAnsi="仿宋" w:eastAsia="仿宋" w:cs="楷体"/>
          <w:color w:val="000000"/>
          <w:sz w:val="28"/>
          <w:szCs w:val="28"/>
          <w:lang w:eastAsia="zh-CN"/>
        </w:rPr>
        <w:t>（</w:t>
      </w:r>
      <w:r>
        <w:rPr>
          <w:rFonts w:hint="eastAsia" w:ascii="仿宋" w:hAnsi="仿宋" w:eastAsia="仿宋" w:cs="楷体"/>
          <w:color w:val="000000"/>
          <w:sz w:val="28"/>
          <w:szCs w:val="28"/>
        </w:rPr>
        <w:t>独立开设</w:t>
      </w:r>
      <w:r>
        <w:rPr>
          <w:rFonts w:hint="eastAsia" w:ascii="仿宋" w:hAnsi="仿宋" w:eastAsia="仿宋" w:cs="楷体"/>
          <w:color w:val="000000"/>
          <w:sz w:val="28"/>
          <w:szCs w:val="28"/>
          <w:lang w:val="en-US" w:eastAsia="zh-CN"/>
        </w:rPr>
        <w:t>10</w:t>
      </w:r>
      <w:r>
        <w:rPr>
          <w:rFonts w:hint="eastAsia" w:ascii="仿宋" w:hAnsi="仿宋" w:eastAsia="仿宋" w:cs="楷体"/>
          <w:color w:val="000000"/>
          <w:sz w:val="28"/>
          <w:szCs w:val="28"/>
          <w:highlight w:val="none"/>
        </w:rPr>
        <w:t>门</w:t>
      </w:r>
      <w:r>
        <w:rPr>
          <w:rFonts w:hint="eastAsia" w:ascii="仿宋" w:hAnsi="仿宋" w:eastAsia="仿宋" w:cs="楷体"/>
          <w:color w:val="000000"/>
          <w:sz w:val="28"/>
          <w:szCs w:val="28"/>
          <w:highlight w:val="none"/>
          <w:lang w:eastAsia="zh-CN"/>
        </w:rPr>
        <w:t>）</w:t>
      </w:r>
      <w:r>
        <w:rPr>
          <w:rFonts w:hint="eastAsia" w:ascii="仿宋" w:hAnsi="仿宋" w:eastAsia="仿宋" w:cs="楷体"/>
          <w:color w:val="000000"/>
          <w:sz w:val="28"/>
          <w:szCs w:val="28"/>
          <w:highlight w:val="none"/>
        </w:rPr>
        <w:t>，</w:t>
      </w:r>
      <w:r>
        <w:rPr>
          <w:rFonts w:hint="eastAsia" w:ascii="仿宋" w:hAnsi="仿宋" w:eastAsia="仿宋" w:cs="楷体"/>
          <w:color w:val="000000"/>
          <w:sz w:val="28"/>
          <w:szCs w:val="28"/>
        </w:rPr>
        <w:t>实验项目资源共计</w:t>
      </w:r>
      <w:r>
        <w:rPr>
          <w:rFonts w:hint="eastAsia" w:ascii="仿宋" w:hAnsi="仿宋" w:eastAsia="仿宋" w:cs="楷体"/>
          <w:color w:val="000000"/>
          <w:sz w:val="28"/>
          <w:szCs w:val="28"/>
          <w:highlight w:val="none"/>
          <w:lang w:val="en-US" w:eastAsia="zh-CN"/>
        </w:rPr>
        <w:t>304</w:t>
      </w:r>
      <w:r>
        <w:rPr>
          <w:rFonts w:hint="eastAsia" w:ascii="仿宋" w:hAnsi="仿宋" w:eastAsia="仿宋" w:cs="楷体"/>
          <w:color w:val="000000"/>
          <w:sz w:val="28"/>
          <w:szCs w:val="28"/>
          <w:highlight w:val="none"/>
        </w:rPr>
        <w:t>个</w:t>
      </w:r>
      <w:r>
        <w:rPr>
          <w:rFonts w:hint="eastAsia" w:ascii="仿宋" w:hAnsi="仿宋" w:eastAsia="仿宋" w:cs="楷体"/>
          <w:color w:val="000000"/>
          <w:sz w:val="28"/>
          <w:szCs w:val="28"/>
        </w:rPr>
        <w:t>，实验项目</w:t>
      </w:r>
      <w:r>
        <w:rPr>
          <w:rFonts w:hint="eastAsia" w:ascii="仿宋" w:hAnsi="仿宋" w:eastAsia="仿宋" w:cs="楷体"/>
          <w:color w:val="000000"/>
          <w:sz w:val="28"/>
          <w:szCs w:val="28"/>
          <w:highlight w:val="none"/>
          <w:lang w:val="en-US" w:eastAsia="zh-CN"/>
        </w:rPr>
        <w:t>271</w:t>
      </w:r>
      <w:r>
        <w:rPr>
          <w:rFonts w:hint="eastAsia" w:ascii="仿宋" w:hAnsi="仿宋" w:eastAsia="仿宋" w:cs="楷体"/>
          <w:color w:val="000000"/>
          <w:sz w:val="28"/>
          <w:szCs w:val="28"/>
        </w:rPr>
        <w:t>个，</w:t>
      </w:r>
      <w:r>
        <w:rPr>
          <w:rFonts w:hint="eastAsia" w:ascii="仿宋" w:hAnsi="仿宋" w:eastAsia="仿宋" w:cs="楷体"/>
          <w:color w:val="000000"/>
          <w:sz w:val="28"/>
          <w:szCs w:val="28"/>
          <w:highlight w:val="none"/>
        </w:rPr>
        <w:t>开展实验教学工作量</w:t>
      </w:r>
      <w:r>
        <w:rPr>
          <w:rFonts w:hint="eastAsia" w:ascii="仿宋" w:hAnsi="仿宋" w:eastAsia="仿宋" w:cs="楷体"/>
          <w:color w:val="000000"/>
          <w:sz w:val="28"/>
          <w:szCs w:val="28"/>
          <w:highlight w:val="none"/>
          <w:lang w:val="en-US" w:eastAsia="zh-CN"/>
        </w:rPr>
        <w:t>17万余人</w:t>
      </w:r>
      <w:r>
        <w:rPr>
          <w:rFonts w:hint="eastAsia" w:ascii="仿宋" w:hAnsi="仿宋" w:eastAsia="仿宋" w:cs="楷体"/>
          <w:color w:val="000000"/>
          <w:sz w:val="28"/>
          <w:szCs w:val="28"/>
          <w:highlight w:val="none"/>
        </w:rPr>
        <w:t>学时</w:t>
      </w:r>
      <w:r>
        <w:rPr>
          <w:rFonts w:hint="eastAsia" w:ascii="仿宋" w:hAnsi="仿宋" w:eastAsia="仿宋" w:cs="楷体"/>
          <w:color w:val="000000"/>
          <w:sz w:val="28"/>
          <w:szCs w:val="28"/>
        </w:rPr>
        <w:t>。</w:t>
      </w:r>
    </w:p>
    <w:p w14:paraId="71380229">
      <w:pPr>
        <w:keepNext w:val="0"/>
        <w:keepLines w:val="0"/>
        <w:pageBreakBefore w:val="0"/>
        <w:numPr>
          <w:ilvl w:val="0"/>
          <w:numId w:val="1"/>
        </w:numPr>
        <w:kinsoku/>
        <w:wordWrap/>
        <w:overflowPunct/>
        <w:topLinePunct w:val="0"/>
        <w:bidi w:val="0"/>
        <w:spacing w:line="360" w:lineRule="auto"/>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人才培养成效评价等</w:t>
      </w:r>
    </w:p>
    <w:p w14:paraId="46DB9872">
      <w:pPr>
        <w:keepNext w:val="0"/>
        <w:keepLines w:val="0"/>
        <w:pageBreakBefore w:val="0"/>
        <w:numPr>
          <w:ilvl w:val="0"/>
          <w:numId w:val="0"/>
        </w:numPr>
        <w:kinsoku/>
        <w:wordWrap/>
        <w:overflowPunct/>
        <w:topLinePunct w:val="0"/>
        <w:bidi w:val="0"/>
        <w:spacing w:line="360" w:lineRule="auto"/>
        <w:ind w:firstLine="560" w:firstLineChars="200"/>
        <w:textAlignment w:val="auto"/>
        <w:rPr>
          <w:rFonts w:hint="eastAsia" w:ascii="楷体" w:hAnsi="楷体" w:eastAsia="楷体" w:cs="仿宋_GB2312"/>
          <w:sz w:val="28"/>
          <w:szCs w:val="28"/>
        </w:rPr>
      </w:pPr>
      <w:r>
        <w:rPr>
          <w:rFonts w:hint="eastAsia" w:ascii="仿宋" w:hAnsi="仿宋" w:eastAsia="仿宋" w:cs="楷体"/>
          <w:color w:val="000000"/>
          <w:sz w:val="28"/>
          <w:szCs w:val="28"/>
        </w:rPr>
        <w:t>本科生新立项大学生创新创业训练计划项目</w:t>
      </w:r>
      <w:r>
        <w:rPr>
          <w:rFonts w:hint="eastAsia" w:ascii="仿宋" w:hAnsi="仿宋" w:eastAsia="仿宋" w:cs="楷体"/>
          <w:color w:val="000000"/>
          <w:sz w:val="28"/>
          <w:szCs w:val="28"/>
          <w:highlight w:val="none"/>
          <w:lang w:val="en-US" w:eastAsia="zh-CN"/>
        </w:rPr>
        <w:t>116</w:t>
      </w:r>
      <w:r>
        <w:rPr>
          <w:rFonts w:hint="eastAsia" w:ascii="仿宋" w:hAnsi="仿宋" w:eastAsia="仿宋" w:cs="楷体"/>
          <w:color w:val="000000"/>
          <w:sz w:val="28"/>
          <w:szCs w:val="28"/>
        </w:rPr>
        <w:t>项，</w:t>
      </w:r>
      <w:r>
        <w:rPr>
          <w:rFonts w:hint="eastAsia" w:ascii="仿宋" w:hAnsi="仿宋" w:eastAsia="仿宋" w:cs="楷体"/>
          <w:color w:val="000000"/>
          <w:sz w:val="28"/>
          <w:szCs w:val="28"/>
          <w:highlight w:val="none"/>
        </w:rPr>
        <w:t>获批专利</w:t>
      </w:r>
      <w:r>
        <w:rPr>
          <w:rFonts w:hint="eastAsia" w:ascii="仿宋" w:hAnsi="仿宋" w:eastAsia="仿宋" w:cs="楷体"/>
          <w:color w:val="000000"/>
          <w:sz w:val="28"/>
          <w:szCs w:val="28"/>
          <w:highlight w:val="none"/>
          <w:lang w:val="en-US" w:eastAsia="zh-CN"/>
        </w:rPr>
        <w:t>21</w:t>
      </w:r>
      <w:r>
        <w:rPr>
          <w:rFonts w:hint="eastAsia" w:ascii="仿宋" w:hAnsi="仿宋" w:eastAsia="仿宋" w:cs="楷体"/>
          <w:color w:val="000000"/>
          <w:sz w:val="28"/>
          <w:szCs w:val="28"/>
          <w:highlight w:val="none"/>
        </w:rPr>
        <w:t>项，发表文章</w:t>
      </w:r>
      <w:r>
        <w:rPr>
          <w:rFonts w:hint="eastAsia" w:ascii="仿宋" w:hAnsi="仿宋" w:eastAsia="仿宋" w:cs="楷体"/>
          <w:color w:val="000000"/>
          <w:sz w:val="28"/>
          <w:szCs w:val="28"/>
          <w:highlight w:val="none"/>
          <w:lang w:val="en-US" w:eastAsia="zh-CN"/>
        </w:rPr>
        <w:t>105</w:t>
      </w:r>
      <w:r>
        <w:rPr>
          <w:rFonts w:hint="eastAsia" w:ascii="仿宋" w:hAnsi="仿宋" w:eastAsia="仿宋" w:cs="楷体"/>
          <w:color w:val="000000"/>
          <w:sz w:val="28"/>
          <w:szCs w:val="28"/>
          <w:highlight w:val="none"/>
        </w:rPr>
        <w:t>篇，获省部级及以上竞赛奖励</w:t>
      </w:r>
      <w:r>
        <w:rPr>
          <w:rFonts w:hint="eastAsia" w:ascii="仿宋" w:hAnsi="仿宋" w:eastAsia="仿宋" w:cs="楷体"/>
          <w:color w:val="000000"/>
          <w:sz w:val="28"/>
          <w:szCs w:val="28"/>
          <w:highlight w:val="none"/>
          <w:lang w:val="en-US" w:eastAsia="zh-CN"/>
        </w:rPr>
        <w:t>103人次</w:t>
      </w:r>
      <w:r>
        <w:rPr>
          <w:rFonts w:hint="eastAsia" w:ascii="仿宋" w:hAnsi="仿宋" w:eastAsia="仿宋" w:cs="楷体"/>
          <w:color w:val="000000"/>
          <w:sz w:val="28"/>
          <w:szCs w:val="28"/>
          <w:highlight w:val="none"/>
        </w:rPr>
        <w:t>。</w:t>
      </w:r>
    </w:p>
    <w:p w14:paraId="72D686EA">
      <w:pPr>
        <w:keepNext w:val="0"/>
        <w:keepLines w:val="0"/>
        <w:pageBreakBefore w:val="0"/>
        <w:kinsoku/>
        <w:wordWrap/>
        <w:overflowPunct/>
        <w:topLinePunct w:val="0"/>
        <w:bidi w:val="0"/>
        <w:spacing w:line="360" w:lineRule="auto"/>
        <w:ind w:firstLine="560" w:firstLineChars="200"/>
        <w:textAlignment w:val="auto"/>
        <w:rPr>
          <w:rFonts w:ascii="黑体" w:hAnsi="黑体" w:eastAsia="黑体" w:cs="仿宋_GB2312"/>
          <w:sz w:val="28"/>
          <w:szCs w:val="28"/>
        </w:rPr>
      </w:pPr>
      <w:r>
        <w:rPr>
          <w:rFonts w:hint="eastAsia" w:ascii="黑体" w:hAnsi="黑体" w:eastAsia="黑体" w:cs="仿宋_GB2312"/>
          <w:sz w:val="28"/>
          <w:szCs w:val="28"/>
        </w:rPr>
        <w:t>二、人才队伍建设</w:t>
      </w:r>
    </w:p>
    <w:p w14:paraId="2B02BB9D">
      <w:pPr>
        <w:keepNext w:val="0"/>
        <w:keepLines w:val="0"/>
        <w:pageBreakBefore w:val="0"/>
        <w:kinsoku/>
        <w:wordWrap/>
        <w:overflowPunct/>
        <w:topLinePunct w:val="0"/>
        <w:bidi w:val="0"/>
        <w:spacing w:line="360" w:lineRule="auto"/>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（一）队伍建设基本情况</w:t>
      </w:r>
    </w:p>
    <w:p w14:paraId="77E49AFC">
      <w:pPr>
        <w:keepNext w:val="0"/>
        <w:keepLines w:val="0"/>
        <w:pageBreakBefore w:val="0"/>
        <w:kinsoku/>
        <w:wordWrap/>
        <w:overflowPunct/>
        <w:topLinePunct w:val="0"/>
        <w:bidi w:val="0"/>
        <w:spacing w:line="360" w:lineRule="auto"/>
        <w:ind w:firstLine="560" w:firstLineChars="200"/>
        <w:textAlignment w:val="auto"/>
        <w:rPr>
          <w:rFonts w:hint="eastAsia" w:ascii="楷体" w:hAnsi="楷体" w:eastAsia="楷体" w:cs="仿宋_GB2312"/>
          <w:sz w:val="28"/>
          <w:szCs w:val="28"/>
        </w:rPr>
      </w:pPr>
      <w:r>
        <w:rPr>
          <w:rFonts w:hint="eastAsia" w:ascii="仿宋" w:hAnsi="仿宋" w:eastAsia="仿宋" w:cs="楷体"/>
          <w:color w:val="000000"/>
          <w:sz w:val="28"/>
          <w:szCs w:val="28"/>
        </w:rPr>
        <w:t>中心本年度固定人员</w:t>
      </w:r>
      <w:r>
        <w:rPr>
          <w:rFonts w:hint="eastAsia" w:ascii="仿宋" w:hAnsi="仿宋" w:eastAsia="仿宋" w:cs="楷体"/>
          <w:color w:val="000000"/>
          <w:sz w:val="28"/>
          <w:szCs w:val="28"/>
          <w:highlight w:val="none"/>
          <w:lang w:val="en-US" w:eastAsia="zh-CN"/>
        </w:rPr>
        <w:t>140</w:t>
      </w:r>
      <w:r>
        <w:rPr>
          <w:rFonts w:hint="eastAsia" w:ascii="仿宋" w:hAnsi="仿宋" w:eastAsia="仿宋" w:cs="楷体"/>
          <w:color w:val="000000"/>
          <w:sz w:val="28"/>
          <w:szCs w:val="28"/>
        </w:rPr>
        <w:t>人，其中正高</w:t>
      </w:r>
      <w:r>
        <w:rPr>
          <w:rFonts w:hint="eastAsia" w:ascii="仿宋" w:hAnsi="仿宋" w:eastAsia="仿宋" w:cs="楷体"/>
          <w:color w:val="000000"/>
          <w:sz w:val="28"/>
          <w:szCs w:val="28"/>
          <w:highlight w:val="none"/>
          <w:lang w:val="en-US" w:eastAsia="zh-CN"/>
        </w:rPr>
        <w:t>64</w:t>
      </w:r>
      <w:r>
        <w:rPr>
          <w:rFonts w:hint="eastAsia" w:ascii="仿宋" w:hAnsi="仿宋" w:eastAsia="仿宋" w:cs="楷体"/>
          <w:color w:val="000000"/>
          <w:sz w:val="28"/>
          <w:szCs w:val="28"/>
        </w:rPr>
        <w:t>人，副高</w:t>
      </w:r>
      <w:r>
        <w:rPr>
          <w:rFonts w:hint="eastAsia" w:ascii="仿宋" w:hAnsi="仿宋" w:eastAsia="仿宋" w:cs="楷体"/>
          <w:color w:val="000000"/>
          <w:sz w:val="28"/>
          <w:szCs w:val="28"/>
          <w:highlight w:val="none"/>
          <w:lang w:val="en-US" w:eastAsia="zh-CN"/>
        </w:rPr>
        <w:t>45</w:t>
      </w:r>
      <w:r>
        <w:rPr>
          <w:rFonts w:hint="eastAsia" w:ascii="仿宋" w:hAnsi="仿宋" w:eastAsia="仿宋" w:cs="楷体"/>
          <w:color w:val="000000"/>
          <w:sz w:val="28"/>
          <w:szCs w:val="28"/>
        </w:rPr>
        <w:t>人，具有博士学位</w:t>
      </w:r>
      <w:r>
        <w:rPr>
          <w:rFonts w:hint="eastAsia" w:ascii="仿宋" w:hAnsi="仿宋" w:eastAsia="仿宋" w:cs="楷体"/>
          <w:color w:val="000000"/>
          <w:sz w:val="28"/>
          <w:szCs w:val="28"/>
          <w:highlight w:val="none"/>
        </w:rPr>
        <w:t>者</w:t>
      </w:r>
      <w:r>
        <w:rPr>
          <w:rFonts w:hint="eastAsia" w:ascii="仿宋" w:hAnsi="仿宋" w:eastAsia="仿宋" w:cs="楷体"/>
          <w:color w:val="000000"/>
          <w:sz w:val="28"/>
          <w:szCs w:val="28"/>
          <w:highlight w:val="none"/>
          <w:lang w:val="en-US" w:eastAsia="zh-CN"/>
        </w:rPr>
        <w:t>119</w:t>
      </w:r>
      <w:r>
        <w:rPr>
          <w:rFonts w:hint="eastAsia" w:ascii="仿宋" w:hAnsi="仿宋" w:eastAsia="仿宋" w:cs="楷体"/>
          <w:color w:val="000000"/>
          <w:sz w:val="28"/>
          <w:szCs w:val="28"/>
        </w:rPr>
        <w:t>人。</w:t>
      </w:r>
    </w:p>
    <w:p w14:paraId="2C409165">
      <w:pPr>
        <w:keepNext w:val="0"/>
        <w:keepLines w:val="0"/>
        <w:pageBreakBefore w:val="0"/>
        <w:numPr>
          <w:ilvl w:val="0"/>
          <w:numId w:val="2"/>
        </w:numPr>
        <w:kinsoku/>
        <w:wordWrap/>
        <w:overflowPunct/>
        <w:topLinePunct w:val="0"/>
        <w:bidi w:val="0"/>
        <w:spacing w:line="360" w:lineRule="auto"/>
        <w:ind w:left="0" w:leftChars="0"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队伍建设的举措与取得的成绩等</w:t>
      </w:r>
    </w:p>
    <w:p w14:paraId="371EE13E">
      <w:pPr>
        <w:keepNext w:val="0"/>
        <w:keepLines w:val="0"/>
        <w:pageBreakBefore w:val="0"/>
        <w:kinsoku/>
        <w:wordWrap/>
        <w:overflowPunct/>
        <w:topLinePunct w:val="0"/>
        <w:bidi w:val="0"/>
        <w:adjustRightInd w:val="0"/>
        <w:snapToGrid w:val="0"/>
        <w:spacing w:line="360" w:lineRule="auto"/>
        <w:ind w:left="120" w:leftChars="50" w:firstLine="422" w:firstLineChars="150"/>
        <w:textAlignment w:val="auto"/>
        <w:rPr>
          <w:rFonts w:hint="eastAsia" w:ascii="楷体" w:hAnsi="楷体" w:eastAsia="楷体" w:cs="仿宋_GB2312"/>
          <w:b/>
          <w:color w:val="000000"/>
          <w:sz w:val="28"/>
          <w:szCs w:val="28"/>
        </w:rPr>
      </w:pPr>
      <w:bookmarkStart w:id="0" w:name="OLE_LINK104"/>
      <w:r>
        <w:rPr>
          <w:rFonts w:ascii="楷体" w:hAnsi="楷体" w:eastAsia="楷体" w:cs="仿宋_GB2312"/>
          <w:b/>
          <w:color w:val="000000"/>
          <w:sz w:val="28"/>
          <w:szCs w:val="28"/>
        </w:rPr>
        <w:t>1.</w:t>
      </w:r>
      <w:r>
        <w:rPr>
          <w:rFonts w:hint="eastAsia" w:ascii="楷体" w:hAnsi="楷体" w:eastAsia="楷体" w:cs="仿宋_GB2312"/>
          <w:b/>
          <w:color w:val="000000"/>
          <w:sz w:val="28"/>
          <w:szCs w:val="28"/>
        </w:rPr>
        <w:t>队伍建设举措</w:t>
      </w:r>
    </w:p>
    <w:bookmarkEnd w:id="0"/>
    <w:p w14:paraId="1BEDC7E1">
      <w:pPr>
        <w:keepNext w:val="0"/>
        <w:keepLines w:val="0"/>
        <w:pageBreakBefore w:val="0"/>
        <w:kinsoku/>
        <w:wordWrap/>
        <w:overflowPunct/>
        <w:topLinePunct w:val="0"/>
        <w:bidi w:val="0"/>
        <w:adjustRightInd w:val="0"/>
        <w:snapToGrid w:val="0"/>
        <w:spacing w:line="360" w:lineRule="auto"/>
        <w:ind w:firstLine="560" w:firstLineChars="200"/>
        <w:textAlignment w:val="auto"/>
        <w:rPr>
          <w:rFonts w:hint="default" w:ascii="仿宋" w:hAnsi="仿宋" w:eastAsia="仿宋" w:cs="楷体"/>
          <w:color w:val="000000"/>
          <w:sz w:val="28"/>
          <w:szCs w:val="28"/>
          <w:highlight w:val="none"/>
          <w:lang w:val="en-US" w:eastAsia="zh-CN"/>
        </w:rPr>
      </w:pPr>
      <w:bookmarkStart w:id="1" w:name="_Hlk122530479"/>
      <w:r>
        <w:rPr>
          <w:rFonts w:hint="default" w:ascii="仿宋" w:hAnsi="仿宋" w:eastAsia="仿宋" w:cs="楷体"/>
          <w:color w:val="000000"/>
          <w:sz w:val="28"/>
          <w:szCs w:val="28"/>
          <w:highlight w:val="none"/>
          <w:lang w:val="en-US" w:eastAsia="zh-CN"/>
        </w:rPr>
        <w:t>中心积极开展华西口腔师资队伍高质量发展系列活动。全年组织开展“大川观澜”青年教师职业成长工作坊56场，143位青年教师进行汇报分享。组织教师参加学院师德师风建设专题培训暨警示教育1200余人次；新职工培训会90余人次；高校新入职教师职业技能培训58人次。</w:t>
      </w:r>
    </w:p>
    <w:bookmarkEnd w:id="1"/>
    <w:p w14:paraId="270D26D9">
      <w:pPr>
        <w:keepNext w:val="0"/>
        <w:keepLines w:val="0"/>
        <w:pageBreakBefore w:val="0"/>
        <w:kinsoku/>
        <w:wordWrap/>
        <w:overflowPunct/>
        <w:topLinePunct w:val="0"/>
        <w:bidi w:val="0"/>
        <w:adjustRightInd w:val="0"/>
        <w:snapToGrid w:val="0"/>
        <w:spacing w:line="360" w:lineRule="auto"/>
        <w:ind w:left="120" w:leftChars="50" w:firstLine="422" w:firstLineChars="150"/>
        <w:textAlignment w:val="auto"/>
        <w:rPr>
          <w:rFonts w:hint="eastAsia" w:ascii="楷体" w:hAnsi="楷体" w:eastAsia="楷体" w:cs="仿宋_GB2312"/>
          <w:b/>
          <w:color w:val="000000"/>
          <w:sz w:val="28"/>
          <w:szCs w:val="28"/>
          <w:lang w:val="en-US" w:eastAsia="zh-CN"/>
        </w:rPr>
      </w:pPr>
      <w:r>
        <w:rPr>
          <w:rFonts w:hint="eastAsia" w:ascii="楷体" w:hAnsi="楷体" w:eastAsia="楷体" w:cs="仿宋_GB2312"/>
          <w:b/>
          <w:color w:val="000000"/>
          <w:sz w:val="28"/>
          <w:szCs w:val="28"/>
        </w:rPr>
        <w:t>2.队伍建设成效</w:t>
      </w:r>
      <w:r>
        <w:rPr>
          <w:rFonts w:hint="eastAsia" w:ascii="楷体" w:hAnsi="楷体" w:eastAsia="楷体" w:cs="仿宋_GB2312"/>
          <w:b/>
          <w:color w:val="000000"/>
          <w:sz w:val="28"/>
          <w:szCs w:val="28"/>
          <w:lang w:val="en-US" w:eastAsia="zh-CN"/>
        </w:rPr>
        <w:t>显著</w:t>
      </w:r>
    </w:p>
    <w:p w14:paraId="3C8CA69E">
      <w:pPr>
        <w:keepNext w:val="0"/>
        <w:keepLines w:val="0"/>
        <w:pageBreakBefore w:val="0"/>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楷体"/>
          <w:color w:val="000000"/>
          <w:sz w:val="28"/>
          <w:szCs w:val="28"/>
        </w:rPr>
      </w:pPr>
      <w:r>
        <w:rPr>
          <w:rFonts w:hint="eastAsia" w:ascii="仿宋" w:hAnsi="仿宋" w:eastAsia="仿宋" w:cs="楷体"/>
          <w:color w:val="000000"/>
          <w:sz w:val="28"/>
          <w:szCs w:val="28"/>
        </w:rPr>
        <w:t>本年度中心教师队伍获多项校级以上表彰</w:t>
      </w:r>
      <w:bookmarkStart w:id="2" w:name="_Hlk122530699"/>
      <w:r>
        <w:rPr>
          <w:rFonts w:hint="eastAsia" w:ascii="仿宋" w:hAnsi="仿宋" w:eastAsia="仿宋" w:cs="楷体"/>
          <w:color w:val="000000"/>
          <w:sz w:val="28"/>
          <w:szCs w:val="28"/>
        </w:rPr>
        <w:t>奖励，包括：</w:t>
      </w:r>
    </w:p>
    <w:p w14:paraId="6135FDC6">
      <w:pPr>
        <w:keepNext w:val="0"/>
        <w:keepLines w:val="0"/>
        <w:pageBreakBefore w:val="0"/>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楷体"/>
          <w:color w:val="000000"/>
          <w:sz w:val="28"/>
          <w:szCs w:val="28"/>
          <w:highlight w:val="none"/>
          <w:lang w:eastAsia="zh-CN"/>
        </w:rPr>
      </w:pPr>
      <w:r>
        <w:rPr>
          <w:rFonts w:hint="eastAsia" w:ascii="仿宋" w:hAnsi="仿宋" w:eastAsia="仿宋" w:cs="楷体"/>
          <w:color w:val="000000"/>
          <w:sz w:val="28"/>
          <w:szCs w:val="28"/>
          <w:highlight w:val="none"/>
          <w:lang w:eastAsia="zh-CN"/>
        </w:rPr>
        <w:t>（</w:t>
      </w:r>
      <w:r>
        <w:rPr>
          <w:rFonts w:hint="eastAsia" w:ascii="仿宋" w:hAnsi="仿宋" w:eastAsia="仿宋" w:cs="楷体"/>
          <w:color w:val="000000"/>
          <w:sz w:val="28"/>
          <w:szCs w:val="28"/>
          <w:highlight w:val="none"/>
          <w:lang w:val="en-US" w:eastAsia="zh-CN"/>
        </w:rPr>
        <w:t>1</w:t>
      </w:r>
      <w:r>
        <w:rPr>
          <w:rFonts w:hint="eastAsia" w:ascii="仿宋" w:hAnsi="仿宋" w:eastAsia="仿宋" w:cs="楷体"/>
          <w:color w:val="000000"/>
          <w:sz w:val="28"/>
          <w:szCs w:val="28"/>
          <w:highlight w:val="none"/>
          <w:lang w:eastAsia="zh-CN"/>
        </w:rPr>
        <w:t>）宝钢教育奖；</w:t>
      </w:r>
    </w:p>
    <w:p w14:paraId="338D82F7">
      <w:pPr>
        <w:keepNext w:val="0"/>
        <w:keepLines w:val="0"/>
        <w:pageBreakBefore w:val="0"/>
        <w:numPr>
          <w:ilvl w:val="0"/>
          <w:numId w:val="3"/>
        </w:numPr>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楷体"/>
          <w:color w:val="000000"/>
          <w:sz w:val="28"/>
          <w:szCs w:val="28"/>
          <w:highlight w:val="none"/>
        </w:rPr>
      </w:pPr>
      <w:r>
        <w:rPr>
          <w:rFonts w:hint="eastAsia" w:ascii="仿宋" w:hAnsi="仿宋" w:eastAsia="仿宋" w:cs="楷体"/>
          <w:color w:val="000000"/>
          <w:sz w:val="28"/>
          <w:szCs w:val="28"/>
          <w:highlight w:val="none"/>
        </w:rPr>
        <w:t>第七届全国高校混合式教学创新设计大赛特等奖；</w:t>
      </w:r>
    </w:p>
    <w:p w14:paraId="09262CF8">
      <w:pPr>
        <w:keepNext w:val="0"/>
        <w:keepLines w:val="0"/>
        <w:pageBreakBefore w:val="0"/>
        <w:numPr>
          <w:ilvl w:val="0"/>
          <w:numId w:val="3"/>
        </w:numPr>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楷体"/>
          <w:color w:val="000000"/>
          <w:sz w:val="28"/>
          <w:szCs w:val="28"/>
          <w:highlight w:val="none"/>
        </w:rPr>
      </w:pPr>
      <w:r>
        <w:rPr>
          <w:rFonts w:hint="eastAsia" w:ascii="仿宋" w:hAnsi="仿宋" w:eastAsia="仿宋" w:cs="楷体"/>
          <w:color w:val="000000"/>
          <w:sz w:val="28"/>
          <w:szCs w:val="28"/>
          <w:highlight w:val="none"/>
        </w:rPr>
        <w:t>第五届全国高校教师教学创新大赛新医科正高组二等奖</w:t>
      </w:r>
      <w:r>
        <w:rPr>
          <w:rFonts w:hint="eastAsia" w:ascii="仿宋" w:hAnsi="仿宋" w:eastAsia="仿宋" w:cs="楷体"/>
          <w:color w:val="000000"/>
          <w:sz w:val="28"/>
          <w:szCs w:val="28"/>
          <w:highlight w:val="none"/>
          <w:lang w:eastAsia="zh-CN"/>
        </w:rPr>
        <w:t>；</w:t>
      </w:r>
    </w:p>
    <w:p w14:paraId="6C45E996">
      <w:pPr>
        <w:keepNext w:val="0"/>
        <w:keepLines w:val="0"/>
        <w:pageBreakBefore w:val="0"/>
        <w:numPr>
          <w:ilvl w:val="0"/>
          <w:numId w:val="3"/>
        </w:numPr>
        <w:kinsoku/>
        <w:wordWrap/>
        <w:overflowPunct/>
        <w:topLinePunct w:val="0"/>
        <w:bidi w:val="0"/>
        <w:adjustRightInd w:val="0"/>
        <w:snapToGrid w:val="0"/>
        <w:spacing w:line="360" w:lineRule="auto"/>
        <w:ind w:firstLine="560" w:firstLineChars="200"/>
        <w:jc w:val="both"/>
        <w:textAlignment w:val="auto"/>
        <w:rPr>
          <w:rFonts w:hint="eastAsia" w:ascii="仿宋" w:hAnsi="仿宋" w:eastAsia="仿宋" w:cs="楷体"/>
          <w:color w:val="000000"/>
          <w:sz w:val="28"/>
          <w:szCs w:val="28"/>
          <w:highlight w:val="none"/>
        </w:rPr>
      </w:pPr>
      <w:r>
        <w:rPr>
          <w:rFonts w:hint="eastAsia" w:ascii="仿宋" w:hAnsi="仿宋" w:eastAsia="仿宋" w:cs="楷体"/>
          <w:color w:val="000000"/>
          <w:sz w:val="28"/>
          <w:szCs w:val="28"/>
          <w:highlight w:val="none"/>
          <w:lang w:val="en-US" w:eastAsia="zh-CN"/>
        </w:rPr>
        <w:t>2025</w:t>
      </w:r>
      <w:r>
        <w:rPr>
          <w:rFonts w:hint="eastAsia" w:ascii="仿宋" w:hAnsi="仿宋" w:eastAsia="仿宋" w:cs="楷体"/>
          <w:color w:val="000000"/>
          <w:sz w:val="28"/>
          <w:szCs w:val="28"/>
          <w:highlight w:val="none"/>
        </w:rPr>
        <w:t>全国仿真创新应用大赛一等奖</w:t>
      </w:r>
      <w:r>
        <w:rPr>
          <w:rFonts w:hint="eastAsia" w:ascii="仿宋" w:hAnsi="仿宋" w:eastAsia="仿宋" w:cs="楷体"/>
          <w:color w:val="000000"/>
          <w:sz w:val="28"/>
          <w:szCs w:val="28"/>
          <w:highlight w:val="none"/>
          <w:lang w:val="en-US" w:eastAsia="zh-CN"/>
        </w:rPr>
        <w:t>2项</w:t>
      </w:r>
      <w:r>
        <w:rPr>
          <w:rFonts w:hint="eastAsia" w:ascii="仿宋" w:hAnsi="仿宋" w:eastAsia="仿宋" w:cs="楷体"/>
          <w:color w:val="000000"/>
          <w:sz w:val="28"/>
          <w:szCs w:val="28"/>
          <w:highlight w:val="none"/>
        </w:rPr>
        <w:t>；</w:t>
      </w:r>
    </w:p>
    <w:bookmarkEnd w:id="2"/>
    <w:p w14:paraId="63DFC23B">
      <w:pPr>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firstLine="560" w:firstLineChars="200"/>
        <w:jc w:val="both"/>
        <w:textAlignment w:val="auto"/>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第四届川渝青年教师风采大赛高校组一等奖</w:t>
      </w:r>
      <w:r>
        <w:rPr>
          <w:rFonts w:hint="eastAsia" w:ascii="仿宋" w:hAnsi="仿宋" w:eastAsia="仿宋" w:cs="仿宋"/>
          <w:color w:val="000000"/>
          <w:sz w:val="28"/>
          <w:szCs w:val="28"/>
          <w:highlight w:val="none"/>
          <w:lang w:eastAsia="zh-CN"/>
        </w:rPr>
        <w:t>；</w:t>
      </w:r>
    </w:p>
    <w:p w14:paraId="2FE25141">
      <w:pPr>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firstLine="560" w:firstLineChars="200"/>
        <w:jc w:val="both"/>
        <w:textAlignment w:val="auto"/>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2025年四川省教师数字素养提升实践活动一等奖</w:t>
      </w:r>
      <w:r>
        <w:rPr>
          <w:rFonts w:hint="eastAsia" w:ascii="仿宋" w:hAnsi="仿宋" w:eastAsia="仿宋" w:cs="仿宋"/>
          <w:color w:val="000000"/>
          <w:sz w:val="28"/>
          <w:szCs w:val="28"/>
          <w:highlight w:val="none"/>
          <w:lang w:val="en-US" w:eastAsia="zh-CN"/>
        </w:rPr>
        <w:t>2项</w:t>
      </w:r>
      <w:r>
        <w:rPr>
          <w:rFonts w:hint="eastAsia" w:ascii="仿宋" w:hAnsi="仿宋" w:eastAsia="仿宋" w:cs="仿宋"/>
          <w:color w:val="000000"/>
          <w:sz w:val="28"/>
          <w:szCs w:val="28"/>
          <w:highlight w:val="none"/>
          <w:lang w:eastAsia="zh-CN"/>
        </w:rPr>
        <w:t>；</w:t>
      </w:r>
    </w:p>
    <w:p w14:paraId="0333B4C7">
      <w:pPr>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firstLine="560" w:firstLineChars="200"/>
        <w:jc w:val="both"/>
        <w:textAlignment w:val="auto"/>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2025全国口腔医学院校青年教师授课技能竞赛一等奖</w:t>
      </w:r>
      <w:r>
        <w:rPr>
          <w:rFonts w:hint="eastAsia" w:ascii="仿宋" w:hAnsi="仿宋" w:eastAsia="仿宋" w:cs="仿宋"/>
          <w:color w:val="000000"/>
          <w:sz w:val="28"/>
          <w:szCs w:val="28"/>
          <w:highlight w:val="none"/>
          <w:lang w:eastAsia="zh-CN"/>
        </w:rPr>
        <w:t>；</w:t>
      </w:r>
    </w:p>
    <w:p w14:paraId="59562FA2">
      <w:pPr>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firstLine="560" w:firstLineChars="200"/>
        <w:jc w:val="both"/>
        <w:textAlignment w:val="auto"/>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四川省首届教师人工智能应用能力大赛特等奖1项</w:t>
      </w:r>
      <w:r>
        <w:rPr>
          <w:rFonts w:hint="eastAsia" w:ascii="仿宋" w:hAnsi="仿宋" w:eastAsia="仿宋" w:cs="仿宋"/>
          <w:color w:val="000000"/>
          <w:sz w:val="28"/>
          <w:szCs w:val="28"/>
          <w:highlight w:val="none"/>
          <w:lang w:eastAsia="zh-CN"/>
        </w:rPr>
        <w:t>；</w:t>
      </w:r>
    </w:p>
    <w:p w14:paraId="2E4C31E6">
      <w:pPr>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firstLine="560" w:firstLineChars="200"/>
        <w:jc w:val="both"/>
        <w:textAlignment w:val="auto"/>
        <w:rPr>
          <w:rFonts w:ascii="仿宋" w:hAnsi="仿宋" w:eastAsia="仿宋" w:cs="仿宋"/>
          <w:color w:val="000000"/>
          <w:sz w:val="28"/>
          <w:szCs w:val="28"/>
          <w:highlight w:val="none"/>
        </w:rPr>
      </w:pPr>
      <w:r>
        <w:rPr>
          <w:rFonts w:hint="eastAsia" w:ascii="仿宋" w:hAnsi="仿宋" w:eastAsia="仿宋" w:cs="楷体"/>
          <w:color w:val="000000"/>
          <w:sz w:val="28"/>
          <w:szCs w:val="28"/>
          <w:highlight w:val="none"/>
        </w:rPr>
        <w:t>中华口腔医学会教案特邀展示</w:t>
      </w:r>
      <w:r>
        <w:rPr>
          <w:rFonts w:hint="eastAsia" w:ascii="仿宋" w:hAnsi="仿宋" w:eastAsia="仿宋" w:cs="楷体"/>
          <w:color w:val="000000"/>
          <w:sz w:val="28"/>
          <w:szCs w:val="28"/>
          <w:highlight w:val="none"/>
          <w:lang w:eastAsia="zh-CN"/>
        </w:rPr>
        <w:t>、“全国口腔医学青年教师授课技能展示”特邀展示</w:t>
      </w:r>
      <w:r>
        <w:rPr>
          <w:rFonts w:hint="eastAsia" w:ascii="仿宋" w:hAnsi="仿宋" w:eastAsia="仿宋" w:cs="楷体"/>
          <w:color w:val="000000"/>
          <w:sz w:val="28"/>
          <w:szCs w:val="28"/>
          <w:highlight w:val="none"/>
        </w:rPr>
        <w:t>；</w:t>
      </w:r>
    </w:p>
    <w:p w14:paraId="2F7D401D">
      <w:pPr>
        <w:keepNext w:val="0"/>
        <w:keepLines w:val="0"/>
        <w:pageBreakBefore w:val="0"/>
        <w:numPr>
          <w:ilvl w:val="0"/>
          <w:numId w:val="0"/>
        </w:numPr>
        <w:kinsoku/>
        <w:wordWrap/>
        <w:overflowPunct/>
        <w:topLinePunct w:val="0"/>
        <w:bidi w:val="0"/>
        <w:spacing w:line="360" w:lineRule="auto"/>
        <w:ind w:firstLine="560" w:firstLineChars="200"/>
        <w:textAlignment w:val="auto"/>
        <w:rPr>
          <w:rFonts w:hint="eastAsia" w:ascii="楷体" w:hAnsi="楷体" w:eastAsia="楷体" w:cs="仿宋_GB2312"/>
          <w:sz w:val="28"/>
          <w:szCs w:val="28"/>
        </w:rPr>
      </w:pPr>
      <w:r>
        <w:rPr>
          <w:rFonts w:hint="eastAsia" w:ascii="仿宋" w:hAnsi="仿宋" w:eastAsia="仿宋" w:cs="楷体"/>
          <w:color w:val="000000"/>
          <w:sz w:val="28"/>
          <w:szCs w:val="28"/>
          <w:highlight w:val="none"/>
          <w:lang w:eastAsia="zh-CN"/>
        </w:rPr>
        <w:t>（</w:t>
      </w:r>
      <w:r>
        <w:rPr>
          <w:rFonts w:hint="eastAsia" w:ascii="仿宋" w:hAnsi="仿宋" w:eastAsia="仿宋" w:cs="楷体"/>
          <w:color w:val="000000"/>
          <w:sz w:val="28"/>
          <w:szCs w:val="28"/>
          <w:highlight w:val="none"/>
          <w:lang w:val="en-US" w:eastAsia="zh-CN"/>
        </w:rPr>
        <w:t>10）</w:t>
      </w:r>
      <w:r>
        <w:rPr>
          <w:rFonts w:hint="eastAsia" w:ascii="仿宋" w:hAnsi="仿宋" w:eastAsia="仿宋" w:cs="楷体"/>
          <w:color w:val="000000"/>
          <w:sz w:val="28"/>
          <w:szCs w:val="28"/>
          <w:highlight w:val="none"/>
        </w:rPr>
        <w:t>课堂教学质量先进奖等校级奖</w:t>
      </w:r>
      <w:r>
        <w:rPr>
          <w:rFonts w:hint="eastAsia" w:ascii="仿宋" w:hAnsi="仿宋" w:eastAsia="仿宋" w:cs="楷体"/>
          <w:color w:val="auto"/>
          <w:sz w:val="28"/>
          <w:szCs w:val="28"/>
          <w:highlight w:val="none"/>
        </w:rPr>
        <w:t>励</w:t>
      </w:r>
      <w:r>
        <w:rPr>
          <w:rFonts w:hint="eastAsia" w:ascii="仿宋" w:hAnsi="仿宋" w:eastAsia="仿宋" w:cs="楷体"/>
          <w:color w:val="auto"/>
          <w:sz w:val="28"/>
          <w:szCs w:val="28"/>
          <w:highlight w:val="none"/>
          <w:lang w:val="en-US" w:eastAsia="zh-CN"/>
        </w:rPr>
        <w:t>20</w:t>
      </w:r>
      <w:r>
        <w:rPr>
          <w:rFonts w:hint="eastAsia" w:ascii="仿宋" w:hAnsi="仿宋" w:eastAsia="仿宋" w:cs="楷体"/>
          <w:color w:val="000000"/>
          <w:sz w:val="28"/>
          <w:szCs w:val="28"/>
          <w:highlight w:val="none"/>
        </w:rPr>
        <w:t>人次。</w:t>
      </w:r>
    </w:p>
    <w:p w14:paraId="634FDAAE">
      <w:pPr>
        <w:keepNext w:val="0"/>
        <w:keepLines w:val="0"/>
        <w:pageBreakBefore w:val="0"/>
        <w:kinsoku/>
        <w:wordWrap/>
        <w:overflowPunct/>
        <w:topLinePunct w:val="0"/>
        <w:bidi w:val="0"/>
        <w:spacing w:line="360" w:lineRule="auto"/>
        <w:ind w:firstLine="560" w:firstLineChars="200"/>
        <w:textAlignment w:val="auto"/>
        <w:rPr>
          <w:rFonts w:ascii="黑体" w:hAnsi="黑体" w:eastAsia="黑体" w:cs="仿宋_GB2312"/>
          <w:sz w:val="28"/>
          <w:szCs w:val="28"/>
        </w:rPr>
      </w:pPr>
      <w:r>
        <w:rPr>
          <w:rFonts w:hint="eastAsia" w:ascii="黑体" w:hAnsi="黑体" w:eastAsia="黑体" w:cs="仿宋_GB2312"/>
          <w:sz w:val="28"/>
          <w:szCs w:val="28"/>
        </w:rPr>
        <w:t>三、教学改革与科学研究</w:t>
      </w:r>
    </w:p>
    <w:p w14:paraId="09852C04">
      <w:pPr>
        <w:keepNext w:val="0"/>
        <w:keepLines w:val="0"/>
        <w:pageBreakBefore w:val="0"/>
        <w:kinsoku/>
        <w:wordWrap/>
        <w:overflowPunct/>
        <w:topLinePunct w:val="0"/>
        <w:bidi w:val="0"/>
        <w:spacing w:line="360" w:lineRule="auto"/>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（一）教学改革立项、进展、完成等情况</w:t>
      </w:r>
    </w:p>
    <w:p w14:paraId="321DDF7A">
      <w:pPr>
        <w:keepNext w:val="0"/>
        <w:keepLines w:val="0"/>
        <w:pageBreakBefore w:val="0"/>
        <w:kinsoku/>
        <w:wordWrap/>
        <w:overflowPunct/>
        <w:topLinePunct w:val="0"/>
        <w:bidi w:val="0"/>
        <w:spacing w:line="360" w:lineRule="auto"/>
        <w:ind w:firstLine="560" w:firstLineChars="200"/>
        <w:textAlignment w:val="auto"/>
        <w:rPr>
          <w:rFonts w:hint="eastAsia" w:ascii="楷体" w:hAnsi="楷体" w:eastAsia="楷体" w:cs="仿宋_GB2312"/>
          <w:sz w:val="28"/>
          <w:szCs w:val="28"/>
        </w:rPr>
      </w:pPr>
      <w:r>
        <w:rPr>
          <w:rFonts w:hint="eastAsia" w:ascii="仿宋" w:hAnsi="仿宋" w:eastAsia="仿宋" w:cs="仿宋"/>
          <w:color w:val="000000"/>
          <w:sz w:val="28"/>
          <w:szCs w:val="28"/>
        </w:rPr>
        <w:t>本年度</w:t>
      </w:r>
      <w:r>
        <w:rPr>
          <w:rFonts w:hint="eastAsia" w:ascii="Times New Roman" w:hAnsi="Times New Roman" w:eastAsia="仿宋" w:cs="Times New Roman"/>
          <w:sz w:val="28"/>
          <w:szCs w:val="28"/>
          <w:lang w:val="en-US" w:eastAsia="zh-CN"/>
        </w:rPr>
        <w:t>新</w:t>
      </w:r>
      <w:r>
        <w:rPr>
          <w:rFonts w:hint="eastAsia" w:ascii="仿宋" w:hAnsi="仿宋" w:eastAsia="仿宋" w:cs="仿宋"/>
          <w:color w:val="000000"/>
          <w:sz w:val="28"/>
          <w:szCs w:val="28"/>
          <w:highlight w:val="none"/>
        </w:rPr>
        <w:t>获批省部级</w:t>
      </w:r>
      <w:r>
        <w:rPr>
          <w:rFonts w:hint="eastAsia" w:ascii="仿宋" w:hAnsi="仿宋" w:eastAsia="仿宋" w:cs="仿宋"/>
          <w:color w:val="000000"/>
          <w:sz w:val="28"/>
          <w:szCs w:val="28"/>
          <w:highlight w:val="none"/>
          <w:lang w:val="en-US" w:eastAsia="zh-CN"/>
        </w:rPr>
        <w:t>教改</w:t>
      </w:r>
      <w:r>
        <w:rPr>
          <w:rFonts w:hint="eastAsia" w:ascii="仿宋" w:hAnsi="仿宋" w:eastAsia="仿宋" w:cs="仿宋"/>
          <w:color w:val="000000"/>
          <w:sz w:val="28"/>
          <w:szCs w:val="28"/>
          <w:highlight w:val="none"/>
        </w:rPr>
        <w:t>项目</w:t>
      </w:r>
      <w:r>
        <w:rPr>
          <w:rFonts w:hint="eastAsia" w:ascii="仿宋" w:hAnsi="仿宋" w:eastAsia="仿宋" w:cs="仿宋"/>
          <w:color w:val="000000"/>
          <w:sz w:val="28"/>
          <w:szCs w:val="28"/>
          <w:highlight w:val="none"/>
          <w:lang w:val="en-US" w:eastAsia="zh-CN"/>
        </w:rPr>
        <w:t>11</w:t>
      </w:r>
      <w:r>
        <w:rPr>
          <w:rFonts w:hint="eastAsia" w:ascii="仿宋" w:hAnsi="仿宋" w:eastAsia="仿宋" w:cs="仿宋"/>
          <w:color w:val="000000"/>
          <w:sz w:val="28"/>
          <w:szCs w:val="28"/>
          <w:highlight w:val="none"/>
        </w:rPr>
        <w:t>项，校级项目</w:t>
      </w:r>
      <w:r>
        <w:rPr>
          <w:rFonts w:hint="eastAsia" w:ascii="仿宋" w:hAnsi="仿宋" w:eastAsia="仿宋" w:cs="仿宋"/>
          <w:color w:val="000000"/>
          <w:sz w:val="28"/>
          <w:szCs w:val="28"/>
          <w:highlight w:val="none"/>
          <w:lang w:val="en-US" w:eastAsia="zh-CN"/>
        </w:rPr>
        <w:t>51</w:t>
      </w:r>
      <w:r>
        <w:rPr>
          <w:rFonts w:hint="eastAsia" w:ascii="仿宋" w:hAnsi="仿宋" w:eastAsia="仿宋" w:cs="仿宋"/>
          <w:color w:val="000000"/>
          <w:sz w:val="28"/>
          <w:szCs w:val="28"/>
          <w:highlight w:val="none"/>
        </w:rPr>
        <w:t>项</w:t>
      </w:r>
      <w:r>
        <w:rPr>
          <w:rFonts w:hint="eastAsia" w:ascii="Times New Roman" w:hAnsi="Times New Roman" w:eastAsia="仿宋" w:cs="Times New Roman"/>
          <w:sz w:val="28"/>
          <w:szCs w:val="28"/>
          <w:lang w:eastAsia="zh-CN"/>
        </w:rPr>
        <w:t>；</w:t>
      </w:r>
      <w:r>
        <w:rPr>
          <w:rFonts w:hint="eastAsia" w:ascii="仿宋" w:hAnsi="仿宋" w:eastAsia="仿宋" w:cs="仿宋"/>
          <w:color w:val="000000"/>
          <w:sz w:val="28"/>
          <w:szCs w:val="28"/>
        </w:rPr>
        <w:t>3门课程获评</w:t>
      </w:r>
      <w:r>
        <w:rPr>
          <w:rFonts w:hint="eastAsia" w:ascii="仿宋" w:hAnsi="仿宋" w:eastAsia="仿宋" w:cs="仿宋"/>
          <w:color w:val="000000"/>
          <w:sz w:val="28"/>
          <w:szCs w:val="28"/>
          <w:lang w:val="en-US" w:eastAsia="zh-CN"/>
        </w:rPr>
        <w:t>教育部</w:t>
      </w:r>
      <w:r>
        <w:rPr>
          <w:rFonts w:hint="eastAsia" w:ascii="仿宋" w:hAnsi="仿宋" w:eastAsia="仿宋" w:cs="仿宋"/>
          <w:color w:val="000000"/>
          <w:sz w:val="28"/>
          <w:szCs w:val="28"/>
        </w:rPr>
        <w:t>第三批国家级一流本科课程</w:t>
      </w:r>
      <w:r>
        <w:rPr>
          <w:rFonts w:hint="eastAsia" w:ascii="仿宋" w:hAnsi="仿宋" w:eastAsia="仿宋" w:cs="仿宋"/>
          <w:color w:val="000000"/>
          <w:sz w:val="28"/>
          <w:szCs w:val="28"/>
          <w:lang w:eastAsia="zh-CN"/>
        </w:rPr>
        <w:t>；</w:t>
      </w:r>
      <w:r>
        <w:rPr>
          <w:rFonts w:hint="eastAsia" w:ascii="Times New Roman" w:hAnsi="Times New Roman" w:eastAsia="仿宋" w:cs="Times New Roman"/>
          <w:sz w:val="28"/>
          <w:szCs w:val="28"/>
          <w:lang w:val="en-US" w:eastAsia="zh-CN"/>
        </w:rPr>
        <w:t>实验教学数智化转型成果入选教育部第三批“人工智能+高等教育”典型应用场景案例，</w:t>
      </w:r>
      <w:r>
        <w:rPr>
          <w:rFonts w:hint="eastAsia" w:ascii="仿宋" w:hAnsi="仿宋" w:eastAsia="仿宋" w:cs="仿宋"/>
          <w:color w:val="000000"/>
          <w:sz w:val="28"/>
          <w:szCs w:val="28"/>
        </w:rPr>
        <w:t>获评</w:t>
      </w:r>
      <w:r>
        <w:rPr>
          <w:rFonts w:hint="eastAsia" w:ascii="Times New Roman" w:hAnsi="Times New Roman" w:eastAsia="仿宋" w:cs="Times New Roman"/>
          <w:sz w:val="28"/>
          <w:szCs w:val="28"/>
          <w:lang w:eastAsia="zh-CN"/>
        </w:rPr>
        <w:t>教育部第二批高等学校虚拟仿真教学创新实验室项目及案例团队</w:t>
      </w:r>
      <w:r>
        <w:rPr>
          <w:rFonts w:hint="eastAsia" w:ascii="仿宋" w:hAnsi="仿宋" w:eastAsia="仿宋" w:cs="仿宋"/>
          <w:color w:val="000000"/>
          <w:sz w:val="28"/>
          <w:szCs w:val="28"/>
        </w:rPr>
        <w:t>。</w:t>
      </w:r>
    </w:p>
    <w:p w14:paraId="59998549">
      <w:pPr>
        <w:keepNext w:val="0"/>
        <w:keepLines w:val="0"/>
        <w:pageBreakBefore w:val="0"/>
        <w:kinsoku/>
        <w:wordWrap/>
        <w:overflowPunct/>
        <w:topLinePunct w:val="0"/>
        <w:bidi w:val="0"/>
        <w:spacing w:line="360" w:lineRule="auto"/>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（二）科学研究等情况</w:t>
      </w:r>
    </w:p>
    <w:p w14:paraId="77B17710">
      <w:pPr>
        <w:keepNext w:val="0"/>
        <w:keepLines w:val="0"/>
        <w:pageBreakBefore w:val="0"/>
        <w:kinsoku/>
        <w:wordWrap/>
        <w:overflowPunct/>
        <w:topLinePunct w:val="0"/>
        <w:bidi w:val="0"/>
        <w:spacing w:line="360" w:lineRule="auto"/>
        <w:ind w:firstLine="560" w:firstLineChars="200"/>
        <w:textAlignment w:val="auto"/>
        <w:rPr>
          <w:rFonts w:hint="eastAsia" w:ascii="楷体" w:hAnsi="楷体" w:eastAsia="楷体" w:cs="仿宋_GB2312"/>
          <w:sz w:val="28"/>
          <w:szCs w:val="28"/>
        </w:rPr>
      </w:pPr>
      <w:r>
        <w:rPr>
          <w:rFonts w:hint="eastAsia" w:ascii="仿宋" w:hAnsi="仿宋" w:eastAsia="仿宋" w:cs="仿宋_GB2312"/>
          <w:sz w:val="28"/>
          <w:szCs w:val="28"/>
        </w:rPr>
        <w:t>2</w:t>
      </w:r>
      <w:r>
        <w:rPr>
          <w:rFonts w:ascii="仿宋" w:hAnsi="仿宋" w:eastAsia="仿宋" w:cs="仿宋_GB2312"/>
          <w:sz w:val="28"/>
          <w:szCs w:val="28"/>
        </w:rPr>
        <w:t>02</w:t>
      </w:r>
      <w:r>
        <w:rPr>
          <w:rFonts w:hint="eastAsia" w:ascii="仿宋" w:hAnsi="仿宋" w:eastAsia="仿宋" w:cs="仿宋_GB2312"/>
          <w:sz w:val="28"/>
          <w:szCs w:val="28"/>
          <w:lang w:val="en-US" w:eastAsia="zh-CN"/>
        </w:rPr>
        <w:t>5</w:t>
      </w:r>
      <w:r>
        <w:rPr>
          <w:rFonts w:hint="eastAsia" w:ascii="仿宋" w:hAnsi="仿宋" w:eastAsia="仿宋" w:cs="仿宋_GB2312"/>
          <w:sz w:val="28"/>
          <w:szCs w:val="28"/>
        </w:rPr>
        <w:t>年</w:t>
      </w:r>
      <w:r>
        <w:rPr>
          <w:rFonts w:hint="eastAsia" w:ascii="仿宋" w:hAnsi="仿宋" w:eastAsia="仿宋" w:cs="楷体"/>
          <w:sz w:val="28"/>
          <w:szCs w:val="28"/>
        </w:rPr>
        <w:t>中心</w:t>
      </w:r>
      <w:r>
        <w:rPr>
          <w:rFonts w:hint="eastAsia" w:ascii="仿宋" w:hAnsi="仿宋" w:eastAsia="仿宋" w:cs="楷体"/>
          <w:sz w:val="28"/>
          <w:szCs w:val="28"/>
          <w:lang w:val="en-US" w:eastAsia="zh-CN"/>
        </w:rPr>
        <w:t>教师</w:t>
      </w:r>
      <w:r>
        <w:rPr>
          <w:rFonts w:hint="eastAsia" w:ascii="仿宋" w:hAnsi="仿宋" w:eastAsia="仿宋" w:cs="楷体"/>
          <w:sz w:val="28"/>
          <w:szCs w:val="28"/>
        </w:rPr>
        <w:t>主持</w:t>
      </w:r>
      <w:r>
        <w:rPr>
          <w:rFonts w:hint="eastAsia" w:ascii="仿宋" w:hAnsi="仿宋" w:eastAsia="仿宋" w:cs="楷体"/>
          <w:sz w:val="28"/>
          <w:szCs w:val="28"/>
          <w:lang w:val="en-US" w:eastAsia="zh-CN"/>
        </w:rPr>
        <w:t>省部级及</w:t>
      </w:r>
      <w:r>
        <w:rPr>
          <w:rFonts w:hint="eastAsia" w:ascii="仿宋" w:hAnsi="仿宋" w:eastAsia="仿宋" w:cs="楷体"/>
          <w:sz w:val="28"/>
          <w:szCs w:val="28"/>
        </w:rPr>
        <w:t>以上科研项目</w:t>
      </w:r>
      <w:r>
        <w:rPr>
          <w:rFonts w:hint="eastAsia" w:ascii="仿宋" w:hAnsi="仿宋" w:eastAsia="仿宋" w:cs="楷体"/>
          <w:sz w:val="28"/>
          <w:szCs w:val="28"/>
          <w:highlight w:val="none"/>
          <w:lang w:val="en-US" w:eastAsia="zh-CN"/>
        </w:rPr>
        <w:t>145</w:t>
      </w:r>
      <w:r>
        <w:rPr>
          <w:rFonts w:hint="eastAsia" w:ascii="仿宋" w:hAnsi="仿宋" w:eastAsia="仿宋" w:cs="楷体"/>
          <w:sz w:val="28"/>
          <w:szCs w:val="28"/>
          <w:highlight w:val="none"/>
        </w:rPr>
        <w:t>项</w:t>
      </w:r>
      <w:r>
        <w:rPr>
          <w:rFonts w:hint="eastAsia" w:ascii="仿宋" w:hAnsi="仿宋" w:eastAsia="仿宋" w:cs="楷体"/>
          <w:sz w:val="28"/>
          <w:szCs w:val="28"/>
        </w:rPr>
        <w:t>，其中国家级项目</w:t>
      </w:r>
      <w:r>
        <w:rPr>
          <w:rFonts w:hint="eastAsia" w:ascii="仿宋" w:hAnsi="仿宋" w:eastAsia="仿宋" w:cs="楷体"/>
          <w:sz w:val="28"/>
          <w:szCs w:val="28"/>
          <w:highlight w:val="none"/>
          <w:lang w:val="en-US" w:eastAsia="zh-CN"/>
        </w:rPr>
        <w:t>77</w:t>
      </w:r>
      <w:r>
        <w:rPr>
          <w:rFonts w:hint="eastAsia" w:ascii="仿宋" w:hAnsi="仿宋" w:eastAsia="仿宋" w:cs="楷体"/>
          <w:sz w:val="28"/>
          <w:szCs w:val="28"/>
          <w:highlight w:val="none"/>
        </w:rPr>
        <w:t>项</w:t>
      </w:r>
      <w:r>
        <w:rPr>
          <w:rFonts w:hint="eastAsia" w:ascii="仿宋" w:hAnsi="仿宋" w:eastAsia="仿宋" w:cs="楷体"/>
          <w:sz w:val="28"/>
          <w:szCs w:val="28"/>
        </w:rPr>
        <w:t>；</w:t>
      </w:r>
      <w:r>
        <w:rPr>
          <w:rFonts w:hint="eastAsia" w:ascii="仿宋" w:hAnsi="仿宋" w:eastAsia="仿宋" w:cs="楷体"/>
          <w:sz w:val="28"/>
          <w:szCs w:val="28"/>
          <w:lang w:val="en-US" w:eastAsia="zh-CN"/>
        </w:rPr>
        <w:t>授权发明专利</w:t>
      </w:r>
      <w:r>
        <w:rPr>
          <w:rFonts w:hint="eastAsia" w:ascii="仿宋" w:hAnsi="仿宋" w:eastAsia="仿宋" w:cs="楷体"/>
          <w:sz w:val="28"/>
          <w:szCs w:val="28"/>
          <w:highlight w:val="none"/>
          <w:lang w:val="en-US" w:eastAsia="zh-CN"/>
        </w:rPr>
        <w:t>89</w:t>
      </w:r>
      <w:r>
        <w:rPr>
          <w:rFonts w:hint="eastAsia" w:ascii="仿宋" w:hAnsi="仿宋" w:eastAsia="仿宋" w:cs="楷体"/>
          <w:sz w:val="28"/>
          <w:szCs w:val="28"/>
          <w:highlight w:val="none"/>
        </w:rPr>
        <w:t>项</w:t>
      </w:r>
      <w:r>
        <w:rPr>
          <w:rFonts w:hint="eastAsia" w:ascii="仿宋" w:hAnsi="仿宋" w:eastAsia="仿宋" w:cs="楷体"/>
          <w:sz w:val="28"/>
          <w:szCs w:val="28"/>
        </w:rPr>
        <w:t>；在国内外刊物上发表论</w:t>
      </w:r>
      <w:r>
        <w:rPr>
          <w:rFonts w:hint="eastAsia" w:ascii="仿宋" w:hAnsi="仿宋" w:eastAsia="仿宋" w:cs="楷体"/>
          <w:sz w:val="28"/>
          <w:szCs w:val="28"/>
          <w:lang w:val="en-US" w:eastAsia="zh-CN"/>
        </w:rPr>
        <w:t>文</w:t>
      </w:r>
      <w:r>
        <w:rPr>
          <w:rFonts w:hint="eastAsia" w:ascii="仿宋" w:hAnsi="仿宋" w:eastAsia="仿宋" w:cs="楷体"/>
          <w:sz w:val="28"/>
          <w:szCs w:val="28"/>
          <w:highlight w:val="none"/>
          <w:lang w:val="en-US" w:eastAsia="zh-CN"/>
        </w:rPr>
        <w:t>528</w:t>
      </w:r>
      <w:r>
        <w:rPr>
          <w:rFonts w:hint="eastAsia" w:ascii="仿宋" w:hAnsi="仿宋" w:eastAsia="仿宋" w:cs="楷体"/>
          <w:sz w:val="28"/>
          <w:szCs w:val="28"/>
        </w:rPr>
        <w:t>篇；出版</w:t>
      </w:r>
      <w:r>
        <w:rPr>
          <w:rFonts w:hint="eastAsia" w:ascii="仿宋" w:hAnsi="仿宋" w:eastAsia="仿宋" w:cs="楷体"/>
          <w:sz w:val="28"/>
          <w:szCs w:val="28"/>
          <w:highlight w:val="none"/>
          <w:lang w:val="en-US" w:eastAsia="zh-CN"/>
        </w:rPr>
        <w:t>专著12部;仪器设备的研制和改装4项</w:t>
      </w:r>
      <w:r>
        <w:rPr>
          <w:rFonts w:hint="eastAsia" w:ascii="仿宋" w:hAnsi="仿宋" w:eastAsia="仿宋" w:cs="楷体"/>
          <w:sz w:val="28"/>
          <w:szCs w:val="28"/>
        </w:rPr>
        <w:t>。</w:t>
      </w:r>
    </w:p>
    <w:p w14:paraId="508BF796">
      <w:pPr>
        <w:keepNext w:val="0"/>
        <w:keepLines w:val="0"/>
        <w:pageBreakBefore w:val="0"/>
        <w:kinsoku/>
        <w:wordWrap/>
        <w:overflowPunct/>
        <w:topLinePunct w:val="0"/>
        <w:bidi w:val="0"/>
        <w:spacing w:line="360" w:lineRule="auto"/>
        <w:ind w:firstLine="560" w:firstLineChars="200"/>
        <w:textAlignment w:val="auto"/>
        <w:rPr>
          <w:rFonts w:ascii="黑体" w:hAnsi="黑体" w:eastAsia="黑体" w:cs="仿宋_GB2312"/>
          <w:sz w:val="28"/>
          <w:szCs w:val="28"/>
        </w:rPr>
      </w:pPr>
      <w:r>
        <w:rPr>
          <w:rFonts w:hint="eastAsia" w:ascii="黑体" w:hAnsi="黑体" w:eastAsia="黑体" w:cs="仿宋_GB2312"/>
          <w:sz w:val="28"/>
          <w:szCs w:val="28"/>
        </w:rPr>
        <w:t>四、信息化建设、开放运行和示范辐射</w:t>
      </w:r>
    </w:p>
    <w:p w14:paraId="24A61BD9">
      <w:pPr>
        <w:keepNext w:val="0"/>
        <w:keepLines w:val="0"/>
        <w:pageBreakBefore w:val="0"/>
        <w:kinsoku/>
        <w:wordWrap/>
        <w:overflowPunct/>
        <w:topLinePunct w:val="0"/>
        <w:bidi w:val="0"/>
        <w:spacing w:line="360" w:lineRule="auto"/>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（一）信息化资源、平台建设，人员信息化能力提升等情况</w:t>
      </w:r>
    </w:p>
    <w:p w14:paraId="7AF6D01F">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仿宋" w:hAnsi="仿宋" w:eastAsia="仿宋" w:cs="仿宋"/>
          <w:b/>
          <w:bCs/>
          <w:sz w:val="28"/>
          <w:szCs w:val="28"/>
        </w:rPr>
      </w:pPr>
      <w:bookmarkStart w:id="3" w:name="_Hlk122526264"/>
      <w:r>
        <w:rPr>
          <w:rFonts w:hint="eastAsia" w:ascii="仿宋" w:hAnsi="仿宋" w:eastAsia="仿宋" w:cs="仿宋"/>
          <w:b/>
          <w:bCs/>
          <w:sz w:val="28"/>
          <w:szCs w:val="28"/>
        </w:rPr>
        <w:t>1.信息化资源与平台建设</w:t>
      </w:r>
    </w:p>
    <w:bookmarkEnd w:id="3"/>
    <w:p w14:paraId="7759259E">
      <w:pPr>
        <w:keepNext w:val="0"/>
        <w:keepLines w:val="0"/>
        <w:pageBreakBefore w:val="0"/>
        <w:kinsoku/>
        <w:wordWrap/>
        <w:overflowPunct/>
        <w:topLinePunct w:val="0"/>
        <w:bidi w:val="0"/>
        <w:spacing w:line="360" w:lineRule="auto"/>
        <w:ind w:firstLine="560" w:firstLineChars="200"/>
        <w:jc w:val="left"/>
        <w:textAlignment w:val="auto"/>
        <w:rPr>
          <w:rFonts w:hint="eastAsia" w:ascii="Times New Roman" w:hAnsi="Times New Roman" w:eastAsia="仿宋" w:cs="Times New Roman"/>
          <w:b w:val="0"/>
          <w:bCs w:val="0"/>
          <w:sz w:val="28"/>
          <w:szCs w:val="28"/>
          <w:highlight w:val="none"/>
          <w:lang w:val="en-US" w:eastAsia="zh-CN"/>
        </w:rPr>
      </w:pPr>
      <w:r>
        <w:rPr>
          <w:rFonts w:hint="eastAsia" w:ascii="仿宋" w:hAnsi="仿宋" w:eastAsia="仿宋" w:cs="仿宋"/>
          <w:sz w:val="28"/>
          <w:szCs w:val="28"/>
        </w:rPr>
        <w:t>中心网址（http://www.hxkq.org/Html/News/Main/102.html）年度访问总量6.5万人次，信息化资源总量为6500Mb；面向全国各高校开放共享，共计参与3.2万余人次。</w:t>
      </w:r>
    </w:p>
    <w:p w14:paraId="1A37C863">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ascii="仿宋" w:hAnsi="仿宋" w:eastAsia="仿宋" w:cs="仿宋"/>
          <w:b/>
          <w:bCs/>
          <w:sz w:val="28"/>
          <w:szCs w:val="28"/>
        </w:rPr>
      </w:pPr>
      <w:r>
        <w:rPr>
          <w:rFonts w:hint="eastAsia" w:ascii="仿宋" w:hAnsi="仿宋" w:eastAsia="仿宋" w:cs="仿宋"/>
          <w:b/>
          <w:bCs/>
          <w:sz w:val="28"/>
          <w:szCs w:val="28"/>
        </w:rPr>
        <w:t>2.人员信息化能力提升</w:t>
      </w:r>
    </w:p>
    <w:p w14:paraId="4FDE009E">
      <w:pPr>
        <w:keepNext w:val="0"/>
        <w:keepLines w:val="0"/>
        <w:pageBreakBefore w:val="0"/>
        <w:kinsoku/>
        <w:wordWrap/>
        <w:overflowPunct/>
        <w:topLinePunct w:val="0"/>
        <w:bidi w:val="0"/>
        <w:spacing w:line="360" w:lineRule="auto"/>
        <w:ind w:firstLine="560" w:firstLineChars="200"/>
        <w:textAlignment w:val="auto"/>
        <w:rPr>
          <w:rFonts w:hint="eastAsia" w:ascii="Times New Roman" w:hAnsi="Times New Roman" w:eastAsia="仿宋" w:cs="Times New Roman"/>
          <w:b w:val="0"/>
          <w:bCs w:val="0"/>
          <w:sz w:val="28"/>
          <w:szCs w:val="28"/>
          <w:highlight w:val="none"/>
          <w:lang w:val="en-US" w:eastAsia="zh-CN"/>
        </w:rPr>
      </w:pPr>
      <w:r>
        <w:rPr>
          <w:rFonts w:hint="eastAsia" w:ascii="仿宋" w:hAnsi="仿宋" w:eastAsia="仿宋" w:cs="仿宋"/>
          <w:sz w:val="28"/>
          <w:szCs w:val="28"/>
          <w:lang w:val="en-US" w:eastAsia="zh-CN"/>
        </w:rPr>
        <w:t>本年度</w:t>
      </w:r>
      <w:r>
        <w:rPr>
          <w:rFonts w:hint="eastAsia" w:ascii="仿宋" w:hAnsi="仿宋" w:eastAsia="仿宋" w:cs="仿宋"/>
          <w:sz w:val="28"/>
          <w:szCs w:val="28"/>
        </w:rPr>
        <w:t>中心</w:t>
      </w:r>
      <w:r>
        <w:rPr>
          <w:rFonts w:hint="eastAsia" w:ascii="仿宋" w:hAnsi="仿宋" w:eastAsia="仿宋" w:cs="仿宋"/>
          <w:sz w:val="28"/>
          <w:szCs w:val="28"/>
          <w:lang w:val="en-US" w:eastAsia="zh-CN"/>
        </w:rPr>
        <w:t>组织人员参加国家级实验教学示范中心联席会活动共计13人次，并</w:t>
      </w:r>
      <w:r>
        <w:rPr>
          <w:rFonts w:ascii="仿宋" w:hAnsi="仿宋" w:eastAsia="仿宋" w:cs="仿宋"/>
          <w:sz w:val="28"/>
          <w:szCs w:val="28"/>
        </w:rPr>
        <w:t>通过</w:t>
      </w:r>
      <w:r>
        <w:rPr>
          <w:rFonts w:hint="eastAsia" w:ascii="仿宋" w:hAnsi="仿宋" w:eastAsia="仿宋" w:cs="仿宋"/>
          <w:sz w:val="28"/>
          <w:szCs w:val="28"/>
          <w:lang w:val="en-US" w:eastAsia="zh-CN"/>
        </w:rPr>
        <w:t>线上+线下</w:t>
      </w:r>
      <w:r>
        <w:rPr>
          <w:rFonts w:ascii="仿宋" w:hAnsi="仿宋" w:eastAsia="仿宋" w:cs="仿宋"/>
          <w:sz w:val="28"/>
          <w:szCs w:val="28"/>
        </w:rPr>
        <w:t>专题讲座、会议交流等多种途径，提升中心人员的</w:t>
      </w:r>
      <w:r>
        <w:rPr>
          <w:rFonts w:hint="eastAsia" w:ascii="仿宋" w:hAnsi="仿宋" w:eastAsia="仿宋" w:cs="仿宋"/>
          <w:sz w:val="28"/>
          <w:szCs w:val="28"/>
          <w:lang w:val="en-US" w:eastAsia="zh-CN"/>
        </w:rPr>
        <w:t>数字素养</w:t>
      </w:r>
      <w:r>
        <w:rPr>
          <w:rFonts w:ascii="仿宋" w:hAnsi="仿宋" w:eastAsia="仿宋" w:cs="仿宋"/>
          <w:sz w:val="28"/>
          <w:szCs w:val="28"/>
        </w:rPr>
        <w:t>和</w:t>
      </w:r>
      <w:r>
        <w:rPr>
          <w:rFonts w:hint="eastAsia" w:ascii="仿宋" w:hAnsi="仿宋" w:eastAsia="仿宋" w:cs="仿宋"/>
          <w:sz w:val="28"/>
          <w:szCs w:val="28"/>
        </w:rPr>
        <w:t>应用</w:t>
      </w:r>
      <w:r>
        <w:rPr>
          <w:rFonts w:hint="eastAsia" w:ascii="仿宋" w:hAnsi="仿宋" w:eastAsia="仿宋" w:cs="仿宋"/>
          <w:sz w:val="28"/>
          <w:szCs w:val="28"/>
          <w:lang w:val="en-US" w:eastAsia="zh-CN"/>
        </w:rPr>
        <w:t>人工智能技术</w:t>
      </w:r>
      <w:r>
        <w:rPr>
          <w:rFonts w:hint="eastAsia" w:ascii="仿宋" w:hAnsi="仿宋" w:eastAsia="仿宋" w:cs="仿宋"/>
          <w:sz w:val="28"/>
          <w:szCs w:val="28"/>
        </w:rPr>
        <w:t>开展</w:t>
      </w:r>
      <w:r>
        <w:rPr>
          <w:rFonts w:ascii="仿宋" w:hAnsi="仿宋" w:eastAsia="仿宋" w:cs="仿宋"/>
          <w:sz w:val="28"/>
          <w:szCs w:val="28"/>
        </w:rPr>
        <w:t>实验教学</w:t>
      </w:r>
      <w:r>
        <w:rPr>
          <w:rFonts w:hint="eastAsia" w:ascii="仿宋" w:hAnsi="仿宋" w:eastAsia="仿宋" w:cs="仿宋"/>
          <w:sz w:val="28"/>
          <w:szCs w:val="28"/>
        </w:rPr>
        <w:t>的</w:t>
      </w:r>
      <w:r>
        <w:rPr>
          <w:rFonts w:ascii="仿宋" w:hAnsi="仿宋" w:eastAsia="仿宋" w:cs="仿宋"/>
          <w:sz w:val="28"/>
          <w:szCs w:val="28"/>
        </w:rPr>
        <w:t>能力。</w:t>
      </w:r>
    </w:p>
    <w:p w14:paraId="3C1E84B7">
      <w:pPr>
        <w:keepNext w:val="0"/>
        <w:keepLines w:val="0"/>
        <w:pageBreakBefore w:val="0"/>
        <w:kinsoku/>
        <w:wordWrap/>
        <w:overflowPunct/>
        <w:topLinePunct w:val="0"/>
        <w:bidi w:val="0"/>
        <w:spacing w:line="360" w:lineRule="auto"/>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（二）开放运行、安全运行等情况</w:t>
      </w:r>
    </w:p>
    <w:p w14:paraId="6F2DBE9B">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2" w:firstLineChars="200"/>
        <w:textAlignment w:val="auto"/>
        <w:rPr>
          <w:rFonts w:hint="default" w:ascii="楷体" w:hAnsi="楷体" w:eastAsia="楷体" w:cs="仿宋_GB2312"/>
          <w:sz w:val="28"/>
          <w:szCs w:val="28"/>
          <w:lang w:val="en-US" w:eastAsia="zh-CN"/>
        </w:rPr>
      </w:pPr>
      <w:r>
        <w:rPr>
          <w:rFonts w:hint="eastAsia" w:ascii="仿宋" w:hAnsi="仿宋" w:eastAsia="仿宋" w:cs="仿宋"/>
          <w:b/>
          <w:bCs/>
          <w:sz w:val="28"/>
          <w:szCs w:val="28"/>
          <w:lang w:val="en-US" w:eastAsia="zh-CN"/>
        </w:rPr>
        <w:t>1.开放运行</w:t>
      </w:r>
    </w:p>
    <w:p w14:paraId="6635140C">
      <w:pPr>
        <w:keepNext w:val="0"/>
        <w:keepLines w:val="0"/>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sz w:val="28"/>
          <w:szCs w:val="28"/>
          <w:highlight w:val="none"/>
          <w:lang w:val="en-US" w:eastAsia="zh-CN"/>
        </w:rPr>
      </w:pPr>
      <w:r>
        <w:rPr>
          <w:rFonts w:hint="eastAsia" w:ascii="仿宋" w:hAnsi="仿宋" w:eastAsia="仿宋"/>
          <w:sz w:val="28"/>
          <w:szCs w:val="28"/>
          <w:lang w:val="en-US" w:eastAsia="zh-CN"/>
        </w:rPr>
        <w:t>2025年中心面向学生开展实习、毕业后/继续教育培训等活动合</w:t>
      </w:r>
      <w:r>
        <w:rPr>
          <w:rFonts w:hint="eastAsia" w:ascii="仿宋" w:hAnsi="仿宋" w:eastAsia="仿宋"/>
          <w:sz w:val="28"/>
          <w:szCs w:val="28"/>
          <w:highlight w:val="none"/>
          <w:lang w:val="en-US" w:eastAsia="zh-CN"/>
        </w:rPr>
        <w:t>计5万余</w:t>
      </w:r>
      <w:r>
        <w:rPr>
          <w:rFonts w:hint="eastAsia" w:ascii="仿宋" w:hAnsi="仿宋" w:eastAsia="仿宋"/>
          <w:sz w:val="28"/>
          <w:szCs w:val="28"/>
          <w:lang w:val="en-US" w:eastAsia="zh-CN"/>
        </w:rPr>
        <w:t>人学时，接待国内外40余所</w:t>
      </w:r>
      <w:r>
        <w:rPr>
          <w:rFonts w:hint="eastAsia" w:ascii="仿宋" w:hAnsi="仿宋" w:eastAsia="仿宋"/>
          <w:sz w:val="28"/>
          <w:szCs w:val="28"/>
          <w:highlight w:val="none"/>
          <w:lang w:val="en-US" w:eastAsia="zh-CN"/>
        </w:rPr>
        <w:t>口腔医学院校及专家团队来中心交流访问，共计700余人次。</w:t>
      </w:r>
    </w:p>
    <w:p w14:paraId="1175D70B">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2" w:firstLineChars="20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2.安全运行</w:t>
      </w:r>
    </w:p>
    <w:p w14:paraId="05C959E1">
      <w:pPr>
        <w:keepNext w:val="0"/>
        <w:keepLines w:val="0"/>
        <w:pageBreakBefore w:val="0"/>
        <w:kinsoku/>
        <w:wordWrap/>
        <w:overflowPunct/>
        <w:topLinePunct w:val="0"/>
        <w:bidi w:val="0"/>
        <w:spacing w:line="360" w:lineRule="auto"/>
        <w:ind w:firstLine="560" w:firstLineChars="200"/>
        <w:textAlignment w:val="auto"/>
        <w:rPr>
          <w:rFonts w:hint="eastAsia" w:ascii="楷体" w:hAnsi="楷体" w:eastAsia="楷体" w:cs="仿宋_GB2312"/>
          <w:sz w:val="28"/>
          <w:szCs w:val="28"/>
        </w:rPr>
      </w:pPr>
      <w:r>
        <w:rPr>
          <w:rFonts w:hint="eastAsia" w:ascii="仿宋" w:hAnsi="仿宋" w:eastAsia="仿宋" w:cs="仿宋"/>
          <w:sz w:val="28"/>
          <w:szCs w:val="28"/>
        </w:rPr>
        <w:t>中心持续加强实验室安全管理及入室师生的安全培训</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2025年开展安全培训</w:t>
      </w:r>
      <w:r>
        <w:rPr>
          <w:rFonts w:hint="eastAsia" w:ascii="仿宋" w:hAnsi="仿宋" w:eastAsia="仿宋" w:cs="仿宋"/>
          <w:sz w:val="28"/>
          <w:szCs w:val="28"/>
          <w:highlight w:val="none"/>
          <w:lang w:val="en-US" w:eastAsia="zh-CN"/>
        </w:rPr>
        <w:t>1320人次</w:t>
      </w:r>
      <w:r>
        <w:rPr>
          <w:rFonts w:hint="eastAsia" w:ascii="仿宋" w:hAnsi="仿宋" w:eastAsia="仿宋" w:cs="仿宋"/>
          <w:sz w:val="28"/>
          <w:szCs w:val="28"/>
          <w:lang w:val="en-US" w:eastAsia="zh-CN"/>
        </w:rPr>
        <w:t>；</w:t>
      </w:r>
      <w:r>
        <w:rPr>
          <w:rFonts w:hint="eastAsia" w:ascii="仿宋" w:hAnsi="仿宋" w:eastAsia="仿宋" w:cs="仿宋"/>
          <w:sz w:val="28"/>
          <w:szCs w:val="28"/>
        </w:rPr>
        <w:t>年组织安全检查</w:t>
      </w:r>
      <w:r>
        <w:rPr>
          <w:rFonts w:hint="eastAsia" w:ascii="仿宋" w:hAnsi="仿宋" w:eastAsia="仿宋" w:cs="仿宋"/>
          <w:sz w:val="28"/>
          <w:szCs w:val="28"/>
          <w:highlight w:val="none"/>
        </w:rPr>
        <w:t>1</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次</w:t>
      </w:r>
      <w:r>
        <w:rPr>
          <w:rFonts w:hint="eastAsia" w:ascii="仿宋" w:hAnsi="仿宋" w:eastAsia="仿宋" w:cs="仿宋"/>
          <w:sz w:val="28"/>
          <w:szCs w:val="28"/>
        </w:rPr>
        <w:t>，通过自查杜绝安全隐患，保障了全年</w:t>
      </w:r>
      <w:r>
        <w:rPr>
          <w:rFonts w:hint="eastAsia" w:ascii="仿宋" w:hAnsi="仿宋" w:eastAsia="仿宋" w:cs="仿宋"/>
          <w:sz w:val="28"/>
          <w:szCs w:val="28"/>
          <w:lang w:val="en-US" w:eastAsia="zh-CN"/>
        </w:rPr>
        <w:t>中心安全无事故</w:t>
      </w:r>
      <w:r>
        <w:rPr>
          <w:rFonts w:hint="eastAsia" w:ascii="仿宋" w:hAnsi="仿宋" w:eastAsia="仿宋" w:cs="仿宋"/>
          <w:sz w:val="28"/>
          <w:szCs w:val="28"/>
        </w:rPr>
        <w:t>。</w:t>
      </w:r>
    </w:p>
    <w:p w14:paraId="2617AC93">
      <w:pPr>
        <w:keepNext w:val="0"/>
        <w:keepLines w:val="0"/>
        <w:pageBreakBefore w:val="0"/>
        <w:kinsoku/>
        <w:wordWrap/>
        <w:overflowPunct/>
        <w:topLinePunct w:val="0"/>
        <w:bidi w:val="0"/>
        <w:spacing w:line="360" w:lineRule="auto"/>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（三）对外交流合作、发挥示范引领、支持中西部高校实验教学改革等情况</w:t>
      </w:r>
    </w:p>
    <w:p w14:paraId="5BF54719">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562" w:firstLineChars="200"/>
        <w:textAlignment w:val="auto"/>
        <w:rPr>
          <w:rFonts w:hint="eastAsia" w:ascii="Times New Roman" w:hAnsi="Times New Roman" w:eastAsia="仿宋" w:cs="Times New Roman"/>
          <w:b w:val="0"/>
          <w:bCs w:val="0"/>
          <w:sz w:val="28"/>
          <w:szCs w:val="28"/>
          <w:highlight w:val="none"/>
          <w:lang w:val="en-US" w:eastAsia="zh-CN"/>
        </w:rPr>
      </w:pPr>
      <w:r>
        <w:rPr>
          <w:rFonts w:hint="eastAsia" w:ascii="仿宋" w:hAnsi="仿宋" w:eastAsia="仿宋" w:cs="仿宋"/>
          <w:b/>
          <w:bCs/>
          <w:sz w:val="28"/>
          <w:szCs w:val="28"/>
          <w:lang w:val="en-US" w:eastAsia="zh-CN"/>
        </w:rPr>
        <w:t>对外交流</w:t>
      </w:r>
      <w:r>
        <w:rPr>
          <w:rFonts w:hint="eastAsia" w:ascii="仿宋" w:hAnsi="仿宋" w:eastAsia="仿宋" w:cs="仿宋"/>
          <w:sz w:val="28"/>
          <w:szCs w:val="28"/>
        </w:rPr>
        <w:t>：</w:t>
      </w:r>
      <w:r>
        <w:rPr>
          <w:rFonts w:hint="eastAsia" w:ascii="Times New Roman" w:hAnsi="Times New Roman" w:eastAsia="仿宋" w:cs="Times New Roman"/>
          <w:b w:val="0"/>
          <w:bCs w:val="0"/>
          <w:sz w:val="28"/>
          <w:szCs w:val="28"/>
          <w:highlight w:val="none"/>
          <w:lang w:val="en-US" w:eastAsia="zh-CN"/>
        </w:rPr>
        <w:t>学院与塞尔维亚贝尔格莱德大学口腔医学院签署共建口腔仿真实验室协议，</w:t>
      </w:r>
      <w:r>
        <w:rPr>
          <w:rFonts w:hint="default" w:ascii="Times New Roman" w:hAnsi="Times New Roman" w:eastAsia="仿宋" w:cs="Times New Roman"/>
          <w:b w:val="0"/>
          <w:bCs w:val="0"/>
          <w:sz w:val="28"/>
          <w:szCs w:val="28"/>
          <w:lang w:val="en-US" w:eastAsia="zh-CN"/>
        </w:rPr>
        <w:t>成功实现设备“出海”，</w:t>
      </w:r>
      <w:r>
        <w:rPr>
          <w:rFonts w:hint="eastAsia" w:ascii="Times New Roman" w:hAnsi="Times New Roman" w:eastAsia="仿宋" w:cs="Times New Roman"/>
          <w:b w:val="0"/>
          <w:bCs w:val="0"/>
          <w:sz w:val="28"/>
          <w:szCs w:val="28"/>
          <w:highlight w:val="none"/>
          <w:lang w:val="en-US" w:eastAsia="zh-CN"/>
        </w:rPr>
        <w:t>推进国际教学合作；</w:t>
      </w:r>
      <w:r>
        <w:rPr>
          <w:rFonts w:hint="eastAsia" w:ascii="Times New Roman" w:hAnsi="Times New Roman" w:eastAsia="仿宋" w:cs="Times New Roman"/>
          <w:sz w:val="28"/>
          <w:szCs w:val="28"/>
          <w:lang w:val="en-US" w:eastAsia="zh-CN"/>
        </w:rPr>
        <w:t>自主研发实验教学装备参展2025年FDI世界口腔医学大会，</w:t>
      </w:r>
      <w:r>
        <w:rPr>
          <w:rFonts w:hint="eastAsia" w:ascii="Times New Roman" w:hAnsi="Times New Roman" w:eastAsia="仿宋" w:cs="Times New Roman"/>
          <w:b w:val="0"/>
          <w:bCs w:val="0"/>
          <w:sz w:val="28"/>
          <w:szCs w:val="28"/>
          <w:lang w:val="en-US" w:eastAsia="zh-CN"/>
        </w:rPr>
        <w:t>获国际广泛关注</w:t>
      </w:r>
      <w:r>
        <w:rPr>
          <w:rFonts w:hint="eastAsia" w:ascii="仿宋" w:hAnsi="仿宋" w:eastAsia="仿宋" w:cs="仿宋"/>
          <w:sz w:val="28"/>
          <w:szCs w:val="28"/>
          <w:lang w:eastAsia="zh-CN"/>
        </w:rPr>
        <w:t>。</w:t>
      </w:r>
      <w:r>
        <w:rPr>
          <w:rFonts w:hint="eastAsia" w:ascii="Times New Roman" w:hAnsi="Times New Roman" w:eastAsia="仿宋" w:cs="Times New Roman"/>
          <w:b w:val="0"/>
          <w:bCs w:val="0"/>
          <w:sz w:val="28"/>
          <w:szCs w:val="28"/>
          <w:highlight w:val="none"/>
          <w:lang w:val="en-US" w:eastAsia="zh-CN"/>
        </w:rPr>
        <w:t xml:space="preserve">    </w:t>
      </w:r>
    </w:p>
    <w:p w14:paraId="47B9EB5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2" w:firstLineChars="200"/>
        <w:textAlignment w:val="auto"/>
        <w:rPr>
          <w:rFonts w:hint="default"/>
          <w:lang w:val="en-US" w:eastAsia="zh-CN"/>
        </w:rPr>
      </w:pPr>
      <w:r>
        <w:rPr>
          <w:rFonts w:hint="eastAsia" w:ascii="仿宋" w:hAnsi="仿宋" w:eastAsia="仿宋" w:cs="仿宋"/>
          <w:b/>
          <w:bCs/>
          <w:kern w:val="2"/>
          <w:sz w:val="28"/>
          <w:szCs w:val="28"/>
          <w:lang w:val="en-US" w:eastAsia="zh-CN" w:bidi="ar-SA"/>
        </w:rPr>
        <w:t>2.示范引领</w:t>
      </w:r>
      <w:r>
        <w:rPr>
          <w:rFonts w:hint="eastAsia"/>
          <w:lang w:val="en-US" w:eastAsia="zh-CN"/>
        </w:rPr>
        <w:t>：</w:t>
      </w:r>
      <w:r>
        <w:rPr>
          <w:rFonts w:hint="default" w:ascii="Times New Roman" w:hAnsi="Times New Roman" w:eastAsia="仿宋" w:cs="Times New Roman"/>
          <w:sz w:val="28"/>
          <w:szCs w:val="28"/>
        </w:rPr>
        <w:t>实验教学案例《数智融合驱动口腔正畸虚拟仿真实验创新》荣获教育部2024年全国教师信息素养提升实践活动高等教育专项标杆作品</w:t>
      </w:r>
      <w:r>
        <w:rPr>
          <w:rFonts w:hint="default" w:ascii="Times New Roman" w:hAnsi="Times New Roman" w:eastAsia="仿宋" w:cs="Times New Roman"/>
          <w:sz w:val="28"/>
          <w:szCs w:val="28"/>
          <w:lang w:eastAsia="zh-CN"/>
        </w:rPr>
        <w:t>，</w:t>
      </w:r>
      <w:r>
        <w:rPr>
          <w:rFonts w:hint="eastAsia" w:ascii="Times New Roman" w:hAnsi="Times New Roman" w:eastAsia="仿宋" w:cs="Times New Roman"/>
          <w:sz w:val="28"/>
          <w:szCs w:val="28"/>
          <w:lang w:val="en-US" w:eastAsia="zh-CN"/>
        </w:rPr>
        <w:t>案例负责人</w:t>
      </w:r>
      <w:r>
        <w:rPr>
          <w:rFonts w:hint="default" w:ascii="Times New Roman" w:hAnsi="Times New Roman" w:eastAsia="仿宋" w:cs="Times New Roman"/>
          <w:sz w:val="28"/>
          <w:szCs w:val="28"/>
        </w:rPr>
        <w:t>受邀做大会专题报告（口腔领域唯一）</w:t>
      </w:r>
      <w:r>
        <w:rPr>
          <w:rFonts w:hint="eastAsia" w:ascii="Times New Roman" w:hAnsi="Times New Roman" w:eastAsia="仿宋" w:cs="Times New Roman"/>
          <w:sz w:val="28"/>
          <w:szCs w:val="28"/>
          <w:lang w:eastAsia="zh-CN"/>
        </w:rPr>
        <w:t>；</w:t>
      </w:r>
      <w:r>
        <w:rPr>
          <w:rFonts w:hint="eastAsia" w:ascii="仿宋" w:hAnsi="仿宋" w:eastAsia="仿宋" w:cs="仿宋_GB2312"/>
          <w:sz w:val="28"/>
          <w:szCs w:val="28"/>
        </w:rPr>
        <w:t>中心教师受邀在全国大会做</w:t>
      </w:r>
      <w:r>
        <w:rPr>
          <w:rFonts w:hint="eastAsia" w:ascii="仿宋" w:hAnsi="仿宋" w:eastAsia="仿宋" w:cs="仿宋_GB2312"/>
          <w:sz w:val="28"/>
          <w:szCs w:val="28"/>
          <w:lang w:val="en-US" w:eastAsia="zh-CN"/>
        </w:rPr>
        <w:t>大会发</w:t>
      </w:r>
      <w:r>
        <w:rPr>
          <w:rFonts w:hint="eastAsia" w:ascii="仿宋" w:hAnsi="仿宋" w:eastAsia="仿宋" w:cs="仿宋_GB2312"/>
          <w:sz w:val="28"/>
          <w:szCs w:val="28"/>
          <w:highlight w:val="none"/>
          <w:lang w:val="en-US" w:eastAsia="zh-CN"/>
        </w:rPr>
        <w:t>言</w:t>
      </w:r>
      <w:r>
        <w:rPr>
          <w:rFonts w:hint="eastAsia" w:ascii="仿宋" w:hAnsi="仿宋" w:eastAsia="仿宋" w:cs="仿宋_GB2312"/>
          <w:sz w:val="28"/>
          <w:szCs w:val="28"/>
          <w:highlight w:val="none"/>
          <w:lang w:eastAsia="zh-CN"/>
        </w:rPr>
        <w:t>，</w:t>
      </w:r>
      <w:r>
        <w:rPr>
          <w:rFonts w:hint="eastAsia" w:ascii="仿宋" w:hAnsi="仿宋" w:eastAsia="仿宋" w:cs="仿宋_GB2312"/>
          <w:sz w:val="28"/>
          <w:szCs w:val="28"/>
          <w:highlight w:val="none"/>
          <w:lang w:val="en-US" w:eastAsia="zh-CN"/>
        </w:rPr>
        <w:t>合计37人次</w:t>
      </w:r>
      <w:r>
        <w:rPr>
          <w:rFonts w:hint="eastAsia" w:ascii="仿宋" w:hAnsi="仿宋" w:eastAsia="仿宋" w:cs="仿宋_GB2312"/>
          <w:sz w:val="28"/>
          <w:szCs w:val="28"/>
          <w:highlight w:val="none"/>
          <w:lang w:eastAsia="zh-CN"/>
        </w:rPr>
        <w:t>。</w:t>
      </w:r>
    </w:p>
    <w:p w14:paraId="28E150BE">
      <w:pPr>
        <w:keepNext w:val="0"/>
        <w:keepLines w:val="0"/>
        <w:pageBreakBefore w:val="0"/>
        <w:kinsoku/>
        <w:wordWrap/>
        <w:overflowPunct/>
        <w:topLinePunct w:val="0"/>
        <w:bidi w:val="0"/>
        <w:adjustRightInd w:val="0"/>
        <w:snapToGrid w:val="0"/>
        <w:spacing w:line="360" w:lineRule="auto"/>
        <w:ind w:firstLine="562" w:firstLineChars="200"/>
        <w:textAlignment w:val="auto"/>
        <w:rPr>
          <w:rFonts w:hint="eastAsia" w:ascii="仿宋" w:hAnsi="仿宋" w:eastAsia="仿宋" w:cs="仿宋_GB2312"/>
          <w:sz w:val="28"/>
          <w:szCs w:val="28"/>
          <w:lang w:eastAsia="zh-CN"/>
        </w:rPr>
      </w:pPr>
      <w:r>
        <w:rPr>
          <w:rFonts w:hint="eastAsia" w:ascii="仿宋" w:hAnsi="仿宋" w:eastAsia="仿宋" w:cs="仿宋_GB2312"/>
          <w:b/>
          <w:bCs/>
          <w:sz w:val="28"/>
          <w:szCs w:val="28"/>
          <w:lang w:val="en-US" w:eastAsia="zh-CN"/>
        </w:rPr>
        <w:t>3</w:t>
      </w:r>
      <w:r>
        <w:rPr>
          <w:rFonts w:hint="eastAsia" w:ascii="仿宋" w:hAnsi="仿宋" w:eastAsia="仿宋" w:cs="仿宋_GB2312"/>
          <w:b/>
          <w:bCs/>
          <w:sz w:val="28"/>
          <w:szCs w:val="28"/>
        </w:rPr>
        <w:t>.教学帮扶与资源共享</w:t>
      </w:r>
      <w:r>
        <w:rPr>
          <w:rFonts w:hint="eastAsia" w:ascii="仿宋" w:hAnsi="仿宋" w:eastAsia="仿宋" w:cs="仿宋_GB2312"/>
          <w:sz w:val="28"/>
          <w:szCs w:val="28"/>
        </w:rPr>
        <w:t>：接收西藏大学等3</w:t>
      </w:r>
      <w:r>
        <w:rPr>
          <w:rFonts w:hint="eastAsia" w:ascii="仿宋" w:hAnsi="仿宋" w:eastAsia="仿宋" w:cs="仿宋_GB2312"/>
          <w:sz w:val="28"/>
          <w:szCs w:val="28"/>
          <w:highlight w:val="none"/>
        </w:rPr>
        <w:t>所西部高校合计18名学生来中</w:t>
      </w:r>
      <w:r>
        <w:rPr>
          <w:rFonts w:hint="eastAsia" w:ascii="仿宋" w:hAnsi="仿宋" w:eastAsia="仿宋" w:cs="仿宋_GB2312"/>
          <w:sz w:val="28"/>
          <w:szCs w:val="28"/>
        </w:rPr>
        <w:t>心交流学习；</w:t>
      </w:r>
      <w:r>
        <w:rPr>
          <w:rFonts w:hint="eastAsia" w:ascii="仿宋" w:hAnsi="仿宋" w:eastAsia="仿宋" w:cs="仿宋_GB2312"/>
          <w:sz w:val="28"/>
          <w:szCs w:val="28"/>
          <w:lang w:val="en-US" w:eastAsia="zh-CN"/>
        </w:rPr>
        <w:t>同上海交通大学、武汉大学等130余所院校共享中心线上虚拟仿真实验教学资源</w:t>
      </w:r>
      <w:r>
        <w:rPr>
          <w:rFonts w:hint="eastAsia" w:ascii="仿宋" w:hAnsi="仿宋" w:eastAsia="仿宋" w:cs="仿宋_GB2312"/>
          <w:sz w:val="28"/>
          <w:szCs w:val="28"/>
          <w:lang w:eastAsia="zh-CN"/>
        </w:rPr>
        <w:t>。</w:t>
      </w:r>
    </w:p>
    <w:p w14:paraId="6C5D2900">
      <w:pPr>
        <w:keepNext w:val="0"/>
        <w:keepLines w:val="0"/>
        <w:pageBreakBefore w:val="0"/>
        <w:widowControl/>
        <w:kinsoku/>
        <w:wordWrap/>
        <w:overflowPunct/>
        <w:topLinePunct w:val="0"/>
        <w:autoSpaceDE/>
        <w:autoSpaceDN/>
        <w:bidi w:val="0"/>
        <w:adjustRightInd w:val="0"/>
        <w:snapToGrid w:val="0"/>
        <w:spacing w:line="360" w:lineRule="auto"/>
        <w:ind w:firstLine="562" w:firstLineChars="200"/>
        <w:textAlignment w:val="auto"/>
        <w:rPr>
          <w:rFonts w:hint="eastAsia" w:ascii="楷体" w:hAnsi="楷体" w:eastAsia="楷体" w:cs="仿宋_GB2312"/>
          <w:sz w:val="28"/>
          <w:szCs w:val="28"/>
        </w:rPr>
      </w:pPr>
      <w:r>
        <w:rPr>
          <w:rFonts w:hint="eastAsia" w:ascii="仿宋" w:hAnsi="仿宋" w:eastAsia="仿宋" w:cs="仿宋_GB2312"/>
          <w:b/>
          <w:bCs/>
          <w:sz w:val="28"/>
          <w:szCs w:val="28"/>
          <w:lang w:val="en-US" w:eastAsia="zh-CN"/>
        </w:rPr>
        <w:t>4.举办会议和活动：</w:t>
      </w:r>
      <w:r>
        <w:rPr>
          <w:rFonts w:hint="eastAsia" w:ascii="仿宋" w:hAnsi="仿宋" w:eastAsia="仿宋" w:cs="仿宋_GB2312"/>
          <w:sz w:val="28"/>
          <w:szCs w:val="28"/>
          <w:lang w:val="en-US" w:eastAsia="zh-CN"/>
        </w:rPr>
        <w:t>中心本年度共举办“一带一路”微创数字化牙体牙髓诊疗技术国际培训班</w:t>
      </w:r>
      <w:r>
        <w:rPr>
          <w:rFonts w:hint="eastAsia" w:ascii="仿宋" w:hAnsi="仿宋" w:eastAsia="仿宋" w:cs="仿宋_GB2312"/>
          <w:sz w:val="28"/>
          <w:szCs w:val="28"/>
          <w:highlight w:val="none"/>
          <w:lang w:val="en-US" w:eastAsia="zh-CN"/>
        </w:rPr>
        <w:t>、2025年度国际课程周（UIP）暨亚洲校园联合学术会等7次大型会议和培训；主办“2025年国际口腔医学本科生操作技能大赛”等3次赛事活动。</w:t>
      </w:r>
      <w:r>
        <w:rPr>
          <w:rFonts w:hint="eastAsia" w:ascii="仿宋" w:hAnsi="仿宋" w:eastAsia="仿宋" w:cs="仿宋_GB2312"/>
          <w:sz w:val="28"/>
          <w:szCs w:val="28"/>
          <w:lang w:val="en-US" w:eastAsia="zh-CN"/>
        </w:rPr>
        <w:t>全年</w:t>
      </w:r>
      <w:r>
        <w:rPr>
          <w:rFonts w:hint="eastAsia" w:ascii="仿宋" w:hAnsi="仿宋" w:eastAsia="仿宋"/>
          <w:sz w:val="28"/>
          <w:szCs w:val="28"/>
          <w:lang w:val="en-US" w:eastAsia="zh-CN"/>
        </w:rPr>
        <w:t>开展科普讲座</w:t>
      </w:r>
      <w:r>
        <w:rPr>
          <w:rFonts w:hint="eastAsia" w:ascii="仿宋" w:hAnsi="仿宋" w:eastAsia="仿宋"/>
          <w:sz w:val="28"/>
          <w:szCs w:val="28"/>
          <w:highlight w:val="none"/>
          <w:lang w:val="en-US" w:eastAsia="zh-CN"/>
        </w:rPr>
        <w:t>及活动36次。</w:t>
      </w:r>
    </w:p>
    <w:p w14:paraId="58DAAE3A">
      <w:pPr>
        <w:keepNext w:val="0"/>
        <w:keepLines w:val="0"/>
        <w:pageBreakBefore w:val="0"/>
        <w:kinsoku/>
        <w:wordWrap/>
        <w:overflowPunct/>
        <w:topLinePunct w:val="0"/>
        <w:bidi w:val="0"/>
        <w:spacing w:line="360" w:lineRule="auto"/>
        <w:ind w:firstLine="560" w:firstLineChars="200"/>
        <w:textAlignment w:val="auto"/>
        <w:rPr>
          <w:rFonts w:ascii="黑体" w:hAnsi="黑体" w:eastAsia="黑体" w:cs="仿宋_GB2312"/>
          <w:sz w:val="28"/>
          <w:szCs w:val="28"/>
        </w:rPr>
      </w:pPr>
      <w:r>
        <w:rPr>
          <w:rFonts w:hint="eastAsia" w:ascii="黑体" w:hAnsi="黑体" w:eastAsia="黑体" w:cs="仿宋_GB2312"/>
          <w:sz w:val="28"/>
          <w:szCs w:val="28"/>
        </w:rPr>
        <w:t>五、示范中心大事记</w:t>
      </w:r>
    </w:p>
    <w:p w14:paraId="3869EBD7">
      <w:pPr>
        <w:keepNext w:val="0"/>
        <w:keepLines w:val="0"/>
        <w:pageBreakBefore w:val="0"/>
        <w:kinsoku/>
        <w:wordWrap/>
        <w:overflowPunct/>
        <w:topLinePunct w:val="0"/>
        <w:bidi w:val="0"/>
        <w:spacing w:line="360" w:lineRule="auto"/>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（一）有关媒体对示范中心的重要评价，附相应文字和图片资料。</w:t>
      </w:r>
    </w:p>
    <w:p w14:paraId="5F7C64A9">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bCs/>
          <w:sz w:val="28"/>
          <w:szCs w:val="32"/>
        </w:rPr>
      </w:pPr>
      <w:r>
        <w:rPr>
          <w:rFonts w:hint="eastAsia" w:ascii="楷体" w:hAnsi="楷体" w:eastAsia="楷体" w:cs="楷体"/>
          <w:b/>
          <w:bCs/>
          <w:sz w:val="28"/>
          <w:szCs w:val="32"/>
        </w:rPr>
        <w:t>1</w:t>
      </w:r>
      <w:r>
        <w:rPr>
          <w:rFonts w:ascii="楷体" w:hAnsi="楷体" w:eastAsia="楷体" w:cs="楷体"/>
          <w:b/>
          <w:bCs/>
          <w:sz w:val="28"/>
          <w:szCs w:val="32"/>
        </w:rPr>
        <w:t>.</w:t>
      </w:r>
      <w:r>
        <w:rPr>
          <w:rFonts w:hint="eastAsia" w:ascii="楷体" w:hAnsi="楷体" w:eastAsia="楷体" w:cs="楷体"/>
          <w:b/>
          <w:bCs/>
          <w:sz w:val="28"/>
          <w:szCs w:val="32"/>
        </w:rPr>
        <w:t>中央电视台报道我院运用AI大模型助力教学升级</w:t>
      </w:r>
    </w:p>
    <w:p w14:paraId="647B2EDA">
      <w:pPr>
        <w:pStyle w:val="30"/>
        <w:keepNext w:val="0"/>
        <w:keepLines w:val="0"/>
        <w:pageBreakBefore w:val="0"/>
        <w:kinsoku/>
        <w:wordWrap/>
        <w:overflowPunct/>
        <w:topLinePunct w:val="0"/>
        <w:bidi w:val="0"/>
        <w:spacing w:line="360" w:lineRule="auto"/>
        <w:textAlignment w:val="auto"/>
        <w:rPr>
          <w:rFonts w:hint="default" w:ascii="Times New Roman" w:hAnsi="Times New Roman" w:eastAsia="仿宋" w:cs="Times New Roman"/>
          <w:color w:val="auto"/>
          <w:kern w:val="2"/>
          <w:sz w:val="28"/>
          <w:szCs w:val="28"/>
        </w:rPr>
      </w:pPr>
      <w:r>
        <w:rPr>
          <w:rFonts w:hint="default" w:ascii="Times New Roman" w:hAnsi="Times New Roman" w:eastAsia="仿宋" w:cs="Times New Roman"/>
          <w:color w:val="auto"/>
          <w:kern w:val="2"/>
          <w:sz w:val="28"/>
          <w:szCs w:val="28"/>
        </w:rPr>
        <w:t>中央电视台《东方时空》报道我院积极推进AI技术与医学教育深度融合，运用“华西口腔智联大模型”助力教学升级，着力自主培养更多适应科技发展的复合型拔尖创新人才。</w:t>
      </w:r>
    </w:p>
    <w:p w14:paraId="6C70AF65">
      <w:pPr>
        <w:pStyle w:val="30"/>
        <w:keepNext w:val="0"/>
        <w:keepLines w:val="0"/>
        <w:pageBreakBefore w:val="0"/>
        <w:kinsoku/>
        <w:wordWrap/>
        <w:overflowPunct/>
        <w:topLinePunct w:val="0"/>
        <w:bidi w:val="0"/>
        <w:spacing w:line="360" w:lineRule="auto"/>
        <w:ind w:firstLine="0" w:firstLineChars="0"/>
        <w:jc w:val="center"/>
        <w:textAlignment w:val="auto"/>
        <w:rPr>
          <w:rFonts w:hint="default" w:ascii="Times New Roman" w:hAnsi="Times New Roman" w:eastAsia="仿宋" w:cs="Times New Roman"/>
          <w:color w:val="auto"/>
          <w:kern w:val="2"/>
          <w:sz w:val="28"/>
          <w:szCs w:val="28"/>
        </w:rPr>
      </w:pPr>
      <w:r>
        <w:drawing>
          <wp:inline distT="0" distB="0" distL="114300" distR="114300">
            <wp:extent cx="3935730" cy="2186940"/>
            <wp:effectExtent l="0" t="0" r="7620" b="381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5"/>
                    <a:stretch>
                      <a:fillRect/>
                    </a:stretch>
                  </pic:blipFill>
                  <pic:spPr>
                    <a:xfrm>
                      <a:off x="0" y="0"/>
                      <a:ext cx="3935730" cy="2186940"/>
                    </a:xfrm>
                    <a:prstGeom prst="rect">
                      <a:avLst/>
                    </a:prstGeom>
                  </pic:spPr>
                </pic:pic>
              </a:graphicData>
            </a:graphic>
          </wp:inline>
        </w:drawing>
      </w:r>
    </w:p>
    <w:p w14:paraId="24982B37">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bCs/>
          <w:sz w:val="28"/>
          <w:szCs w:val="32"/>
        </w:rPr>
      </w:pPr>
      <w:r>
        <w:rPr>
          <w:rFonts w:hint="eastAsia" w:ascii="楷体" w:hAnsi="楷体" w:eastAsia="楷体" w:cs="楷体"/>
          <w:b/>
          <w:bCs/>
          <w:sz w:val="28"/>
          <w:szCs w:val="32"/>
        </w:rPr>
        <w:t>2.</w:t>
      </w:r>
      <w:r>
        <w:rPr>
          <w:rFonts w:hint="eastAsia" w:ascii="楷体" w:hAnsi="楷体" w:eastAsia="楷体" w:cs="楷体"/>
          <w:b/>
          <w:bCs/>
          <w:sz w:val="28"/>
          <w:szCs w:val="32"/>
          <w:lang w:eastAsia="zh-CN"/>
        </w:rPr>
        <w:t>《</w:t>
      </w:r>
      <w:r>
        <w:rPr>
          <w:rFonts w:hint="eastAsia" w:ascii="楷体" w:hAnsi="楷体" w:eastAsia="楷体" w:cs="楷体"/>
          <w:b/>
          <w:bCs/>
          <w:sz w:val="28"/>
          <w:szCs w:val="32"/>
        </w:rPr>
        <w:t>光明日报》、新华社等多家媒体报道我院育人成果</w:t>
      </w:r>
    </w:p>
    <w:p w14:paraId="2DAA03CD">
      <w:pPr>
        <w:keepNext w:val="0"/>
        <w:keepLines w:val="0"/>
        <w:pageBreakBefore w:val="0"/>
        <w:widowControl w:val="0"/>
        <w:kinsoku/>
        <w:wordWrap/>
        <w:overflowPunct/>
        <w:topLinePunct w:val="0"/>
        <w:bidi w:val="0"/>
        <w:adjustRightInd w:val="0"/>
        <w:snapToGrid w:val="0"/>
        <w:spacing w:line="360" w:lineRule="auto"/>
        <w:ind w:firstLine="560" w:firstLineChars="200"/>
        <w:jc w:val="both"/>
        <w:textAlignment w:val="auto"/>
        <w:rPr>
          <w:rFonts w:ascii="Times New Roman" w:hAnsi="Times New Roman" w:eastAsia="仿宋" w:cs="Times New Roman"/>
          <w:kern w:val="2"/>
          <w:sz w:val="28"/>
          <w:szCs w:val="28"/>
        </w:rPr>
      </w:pPr>
      <w:r>
        <w:rPr>
          <w:rFonts w:hint="eastAsia" w:ascii="Times New Roman" w:hAnsi="Times New Roman" w:eastAsia="仿宋" w:cs="Times New Roman"/>
          <w:kern w:val="2"/>
          <w:sz w:val="28"/>
          <w:szCs w:val="28"/>
        </w:rPr>
        <w:t>近日，《光明日报》、新华社等多家媒体报道我院在口腔医学人才培养方面的突出成果。</w:t>
      </w:r>
    </w:p>
    <w:p w14:paraId="6AF1AEB4">
      <w:pPr>
        <w:keepNext w:val="0"/>
        <w:keepLines w:val="0"/>
        <w:pageBreakBefore w:val="0"/>
        <w:kinsoku/>
        <w:wordWrap/>
        <w:overflowPunct/>
        <w:topLinePunct w:val="0"/>
        <w:bidi w:val="0"/>
        <w:spacing w:line="360" w:lineRule="auto"/>
        <w:ind w:firstLine="480" w:firstLineChars="20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3498850" cy="3423285"/>
            <wp:effectExtent l="0" t="0" r="6350" b="5715"/>
            <wp:docPr id="5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descr="IMG_256"/>
                    <pic:cNvPicPr>
                      <a:picLocks noChangeAspect="1"/>
                    </pic:cNvPicPr>
                  </pic:nvPicPr>
                  <pic:blipFill>
                    <a:blip r:embed="rId6"/>
                    <a:stretch>
                      <a:fillRect/>
                    </a:stretch>
                  </pic:blipFill>
                  <pic:spPr>
                    <a:xfrm>
                      <a:off x="0" y="0"/>
                      <a:ext cx="3498850" cy="3423285"/>
                    </a:xfrm>
                    <a:prstGeom prst="rect">
                      <a:avLst/>
                    </a:prstGeom>
                    <a:noFill/>
                    <a:ln w="9525">
                      <a:noFill/>
                    </a:ln>
                  </pic:spPr>
                </pic:pic>
              </a:graphicData>
            </a:graphic>
          </wp:inline>
        </w:drawing>
      </w:r>
    </w:p>
    <w:p w14:paraId="2A0C8A02">
      <w:pPr>
        <w:keepNext w:val="0"/>
        <w:keepLines w:val="0"/>
        <w:pageBreakBefore w:val="0"/>
        <w:kinsoku/>
        <w:wordWrap/>
        <w:overflowPunct/>
        <w:topLinePunct w:val="0"/>
        <w:bidi w:val="0"/>
        <w:spacing w:line="360" w:lineRule="auto"/>
        <w:ind w:firstLine="480" w:firstLineChars="200"/>
        <w:textAlignment w:val="auto"/>
        <w:rPr>
          <w:rFonts w:hint="eastAsia" w:ascii="Times New Roman" w:hAnsi="Times New Roman" w:eastAsia="宋体" w:cs="Times New Roman"/>
          <w:sz w:val="24"/>
          <w:szCs w:val="24"/>
        </w:rPr>
      </w:pPr>
    </w:p>
    <w:p w14:paraId="57D86E4F">
      <w:pPr>
        <w:keepNext w:val="0"/>
        <w:keepLines w:val="0"/>
        <w:pageBreakBefore w:val="0"/>
        <w:kinsoku/>
        <w:wordWrap/>
        <w:overflowPunct/>
        <w:topLinePunct w:val="0"/>
        <w:bidi w:val="0"/>
        <w:spacing w:line="360" w:lineRule="auto"/>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（二）省部级以上领导同志视察示范中心的图片及说明等</w:t>
      </w:r>
    </w:p>
    <w:p w14:paraId="50711D56">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bCs/>
          <w:sz w:val="28"/>
          <w:szCs w:val="32"/>
          <w:lang w:val="en-US" w:eastAsia="zh-CN"/>
        </w:rPr>
      </w:pPr>
      <w:r>
        <w:rPr>
          <w:rFonts w:hint="eastAsia" w:ascii="楷体" w:hAnsi="楷体" w:eastAsia="楷体" w:cs="楷体"/>
          <w:b/>
          <w:bCs/>
          <w:sz w:val="28"/>
          <w:szCs w:val="32"/>
          <w:lang w:val="en-US" w:eastAsia="zh-CN"/>
        </w:rPr>
        <w:t>1.顺利迎接教育部本科教育教学审核评估现场考核</w:t>
      </w:r>
    </w:p>
    <w:p w14:paraId="72DA318D">
      <w:pPr>
        <w:pStyle w:val="30"/>
        <w:keepNext w:val="0"/>
        <w:keepLines w:val="0"/>
        <w:pageBreakBefore w:val="0"/>
        <w:kinsoku/>
        <w:wordWrap/>
        <w:overflowPunct/>
        <w:topLinePunct w:val="0"/>
        <w:bidi w:val="0"/>
        <w:spacing w:line="360" w:lineRule="auto"/>
        <w:textAlignment w:val="auto"/>
        <w:rPr>
          <w:rFonts w:hint="default" w:ascii="楷体" w:hAnsi="楷体" w:eastAsia="楷体" w:cs="楷体"/>
          <w:b/>
          <w:bCs/>
          <w:sz w:val="28"/>
          <w:szCs w:val="32"/>
          <w:lang w:val="en-US" w:eastAsia="zh-CN"/>
        </w:rPr>
      </w:pPr>
      <w:r>
        <w:rPr>
          <w:rFonts w:hint="eastAsia" w:ascii="Times New Roman" w:hAnsi="Times New Roman" w:eastAsia="仿宋" w:cs="Times New Roman"/>
          <w:color w:val="auto"/>
          <w:kern w:val="2"/>
          <w:sz w:val="28"/>
          <w:szCs w:val="28"/>
          <w:lang w:val="en-US" w:eastAsia="zh-CN"/>
        </w:rPr>
        <w:t>12月2日，中心迎接本轮教育部本科教育教学审核评估现场考核，获专家组一致好评。</w:t>
      </w:r>
    </w:p>
    <w:p w14:paraId="62F5990F">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default" w:ascii="楷体" w:hAnsi="楷体" w:eastAsia="楷体" w:cs="楷体"/>
          <w:b/>
          <w:bCs/>
          <w:sz w:val="28"/>
          <w:szCs w:val="32"/>
          <w:lang w:val="en-US" w:eastAsia="zh-CN"/>
        </w:rPr>
      </w:pPr>
      <w:r>
        <w:rPr>
          <w:rFonts w:hint="eastAsia" w:ascii="楷体" w:hAnsi="楷体" w:eastAsia="楷体" w:cs="楷体"/>
          <w:b/>
          <w:bCs/>
          <w:sz w:val="28"/>
          <w:szCs w:val="32"/>
          <w:lang w:val="en-US" w:eastAsia="zh-CN"/>
        </w:rPr>
        <w:t>2</w:t>
      </w:r>
      <w:r>
        <w:rPr>
          <w:rFonts w:ascii="楷体" w:hAnsi="楷体" w:eastAsia="楷体" w:cs="楷体"/>
          <w:b/>
          <w:bCs/>
          <w:sz w:val="28"/>
          <w:szCs w:val="32"/>
        </w:rPr>
        <w:t>.</w:t>
      </w:r>
      <w:r>
        <w:rPr>
          <w:rFonts w:hint="eastAsia" w:ascii="楷体" w:hAnsi="楷体" w:eastAsia="楷体" w:cs="楷体"/>
          <w:b/>
          <w:bCs/>
          <w:sz w:val="28"/>
          <w:szCs w:val="32"/>
          <w:highlight w:val="none"/>
          <w:lang w:val="en-US" w:eastAsia="zh-CN"/>
        </w:rPr>
        <w:t>顺利完成</w:t>
      </w:r>
      <w:r>
        <w:rPr>
          <w:rFonts w:hint="eastAsia" w:ascii="楷体" w:hAnsi="楷体" w:eastAsia="楷体" w:cs="楷体"/>
          <w:b/>
          <w:bCs/>
          <w:sz w:val="28"/>
          <w:szCs w:val="32"/>
          <w:highlight w:val="none"/>
        </w:rPr>
        <w:t>教育部高等教育司来院调研</w:t>
      </w:r>
      <w:r>
        <w:rPr>
          <w:rFonts w:hint="eastAsia" w:ascii="楷体" w:hAnsi="楷体" w:eastAsia="楷体" w:cs="楷体"/>
          <w:b/>
          <w:bCs/>
          <w:sz w:val="28"/>
          <w:szCs w:val="32"/>
          <w:highlight w:val="none"/>
          <w:lang w:val="en-US" w:eastAsia="zh-CN"/>
        </w:rPr>
        <w:t>视察工作</w:t>
      </w:r>
    </w:p>
    <w:p w14:paraId="18C9084A">
      <w:pPr>
        <w:pStyle w:val="30"/>
        <w:keepNext w:val="0"/>
        <w:keepLines w:val="0"/>
        <w:pageBreakBefore w:val="0"/>
        <w:kinsoku/>
        <w:wordWrap/>
        <w:overflowPunct/>
        <w:topLinePunct w:val="0"/>
        <w:bidi w:val="0"/>
        <w:spacing w:line="360" w:lineRule="auto"/>
        <w:textAlignment w:val="auto"/>
        <w:rPr>
          <w:rFonts w:hint="eastAsia" w:ascii="Times New Roman" w:hAnsi="Times New Roman" w:eastAsia="仿宋" w:cs="Times New Roman"/>
          <w:color w:val="auto"/>
          <w:kern w:val="2"/>
          <w:sz w:val="28"/>
          <w:szCs w:val="28"/>
          <w:lang w:eastAsia="zh-CN"/>
        </w:rPr>
      </w:pPr>
      <w:r>
        <w:rPr>
          <w:rFonts w:hint="eastAsia" w:ascii="Times New Roman" w:hAnsi="Times New Roman" w:eastAsia="仿宋" w:cs="Times New Roman"/>
          <w:color w:val="auto"/>
          <w:kern w:val="2"/>
          <w:sz w:val="28"/>
          <w:szCs w:val="28"/>
          <w:lang w:val="en-US" w:eastAsia="zh-CN"/>
        </w:rPr>
        <w:t>12</w:t>
      </w:r>
      <w:r>
        <w:rPr>
          <w:rFonts w:hint="default" w:ascii="Times New Roman" w:hAnsi="Times New Roman" w:eastAsia="仿宋" w:cs="Times New Roman"/>
          <w:color w:val="auto"/>
          <w:kern w:val="2"/>
          <w:sz w:val="28"/>
          <w:szCs w:val="28"/>
        </w:rPr>
        <w:t>月</w:t>
      </w:r>
      <w:r>
        <w:rPr>
          <w:rFonts w:hint="eastAsia" w:ascii="Times New Roman" w:hAnsi="Times New Roman" w:eastAsia="仿宋" w:cs="Times New Roman"/>
          <w:color w:val="auto"/>
          <w:kern w:val="2"/>
          <w:sz w:val="28"/>
          <w:szCs w:val="28"/>
          <w:lang w:val="en-US" w:eastAsia="zh-CN"/>
        </w:rPr>
        <w:t>5</w:t>
      </w:r>
      <w:r>
        <w:rPr>
          <w:rFonts w:hint="default" w:ascii="Times New Roman" w:hAnsi="Times New Roman" w:eastAsia="仿宋" w:cs="Times New Roman"/>
          <w:color w:val="auto"/>
          <w:kern w:val="2"/>
          <w:sz w:val="28"/>
          <w:szCs w:val="28"/>
        </w:rPr>
        <w:t>日，教育部高教司一行莅临我院</w:t>
      </w:r>
      <w:r>
        <w:rPr>
          <w:rFonts w:hint="eastAsia" w:ascii="Times New Roman" w:hAnsi="Times New Roman" w:eastAsia="仿宋" w:cs="Times New Roman"/>
          <w:color w:val="auto"/>
          <w:kern w:val="2"/>
          <w:sz w:val="28"/>
          <w:szCs w:val="28"/>
          <w:lang w:val="en-US" w:eastAsia="zh-CN"/>
        </w:rPr>
        <w:t>进行现场调研</w:t>
      </w:r>
      <w:r>
        <w:rPr>
          <w:rFonts w:hint="default" w:ascii="Times New Roman" w:hAnsi="Times New Roman" w:eastAsia="仿宋" w:cs="Times New Roman"/>
          <w:color w:val="auto"/>
          <w:kern w:val="2"/>
          <w:sz w:val="28"/>
          <w:szCs w:val="28"/>
        </w:rPr>
        <w:t>，</w:t>
      </w:r>
      <w:r>
        <w:rPr>
          <w:rFonts w:hint="eastAsia" w:ascii="Times New Roman" w:hAnsi="Times New Roman" w:eastAsia="仿宋" w:cs="Times New Roman"/>
          <w:color w:val="auto"/>
          <w:kern w:val="2"/>
          <w:sz w:val="28"/>
          <w:szCs w:val="28"/>
          <w:lang w:val="en-US" w:eastAsia="zh-CN"/>
        </w:rPr>
        <w:t>走访了</w:t>
      </w:r>
      <w:r>
        <w:rPr>
          <w:rFonts w:hint="default" w:ascii="Times New Roman" w:hAnsi="Times New Roman" w:eastAsia="仿宋" w:cs="Times New Roman"/>
          <w:color w:val="auto"/>
          <w:kern w:val="2"/>
          <w:sz w:val="28"/>
          <w:szCs w:val="28"/>
        </w:rPr>
        <w:t>我院华西口腔医学基础国家级实验教学示范中心，</w:t>
      </w:r>
      <w:r>
        <w:rPr>
          <w:rFonts w:hint="eastAsia" w:ascii="Times New Roman" w:hAnsi="Times New Roman" w:eastAsia="仿宋" w:cs="Times New Roman"/>
          <w:color w:val="auto"/>
          <w:kern w:val="2"/>
          <w:sz w:val="28"/>
          <w:szCs w:val="28"/>
          <w:lang w:val="en-US" w:eastAsia="zh-CN"/>
        </w:rPr>
        <w:t>并进行学生座谈会</w:t>
      </w:r>
      <w:r>
        <w:rPr>
          <w:rFonts w:hint="default" w:ascii="Times New Roman" w:hAnsi="Times New Roman" w:eastAsia="仿宋" w:cs="Times New Roman"/>
          <w:color w:val="auto"/>
          <w:kern w:val="2"/>
          <w:sz w:val="28"/>
          <w:szCs w:val="28"/>
        </w:rPr>
        <w:t>。</w:t>
      </w:r>
    </w:p>
    <w:p w14:paraId="477524E1">
      <w:pPr>
        <w:keepNext w:val="0"/>
        <w:keepLines w:val="0"/>
        <w:pageBreakBefore w:val="0"/>
        <w:kinsoku/>
        <w:wordWrap/>
        <w:overflowPunct/>
        <w:topLinePunct w:val="0"/>
        <w:bidi w:val="0"/>
        <w:spacing w:line="360" w:lineRule="auto"/>
        <w:ind w:firstLine="560" w:firstLineChars="200"/>
        <w:textAlignment w:val="auto"/>
        <w:rPr>
          <w:rFonts w:hint="eastAsia" w:ascii="楷体" w:hAnsi="楷体" w:eastAsia="楷体" w:cs="仿宋_GB2312"/>
          <w:sz w:val="28"/>
          <w:szCs w:val="28"/>
        </w:rPr>
      </w:pPr>
      <w:r>
        <w:rPr>
          <w:rFonts w:hint="eastAsia" w:ascii="楷体" w:hAnsi="楷体" w:eastAsia="楷体" w:cs="仿宋_GB2312"/>
          <w:sz w:val="28"/>
          <w:szCs w:val="28"/>
        </w:rPr>
        <w:t>（三）其它对示范中心发展有重大影响的活动等</w:t>
      </w:r>
    </w:p>
    <w:p w14:paraId="36325658">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bCs/>
          <w:sz w:val="28"/>
          <w:szCs w:val="32"/>
        </w:rPr>
      </w:pPr>
      <w:r>
        <w:rPr>
          <w:rFonts w:ascii="楷体" w:hAnsi="楷体" w:eastAsia="楷体" w:cs="楷体"/>
          <w:b/>
          <w:bCs/>
          <w:sz w:val="28"/>
          <w:szCs w:val="32"/>
        </w:rPr>
        <w:t>1</w:t>
      </w:r>
      <w:r>
        <w:rPr>
          <w:rFonts w:hint="eastAsia" w:ascii="楷体" w:hAnsi="楷体" w:eastAsia="楷体" w:cs="楷体"/>
          <w:b/>
          <w:bCs/>
          <w:sz w:val="28"/>
          <w:szCs w:val="32"/>
        </w:rPr>
        <w:t>.四川大学未来学习中心——口腔医学IDEA中心揭牌</w:t>
      </w:r>
    </w:p>
    <w:p w14:paraId="29B64292">
      <w:pPr>
        <w:pStyle w:val="30"/>
        <w:keepNext w:val="0"/>
        <w:keepLines w:val="0"/>
        <w:pageBreakBefore w:val="0"/>
        <w:kinsoku/>
        <w:wordWrap/>
        <w:overflowPunct/>
        <w:topLinePunct w:val="0"/>
        <w:bidi w:val="0"/>
        <w:spacing w:line="360" w:lineRule="auto"/>
        <w:textAlignment w:val="auto"/>
        <w:rPr>
          <w:rFonts w:hint="default" w:ascii="Times New Roman" w:hAnsi="Times New Roman" w:eastAsia="仿宋" w:cs="Times New Roman"/>
          <w:color w:val="auto"/>
          <w:kern w:val="2"/>
          <w:sz w:val="28"/>
          <w:szCs w:val="28"/>
        </w:rPr>
      </w:pPr>
      <w:r>
        <w:rPr>
          <w:rFonts w:hint="default" w:ascii="Times New Roman" w:hAnsi="Times New Roman" w:eastAsia="仿宋" w:cs="Times New Roman"/>
          <w:color w:val="auto"/>
          <w:kern w:val="2"/>
          <w:sz w:val="28"/>
          <w:szCs w:val="28"/>
        </w:rPr>
        <w:t>2025年9月29日上午，四川大学未来学习中心——口腔医学IDEA中心揭牌仪式在我院举行。四川大学副校长游劲松教授、教务处（招生办公室）处长党跃武教授、全体在家院领导、各学科系主任及职能部门负责人共同出席。</w:t>
      </w:r>
    </w:p>
    <w:p w14:paraId="7A384639">
      <w:pPr>
        <w:pStyle w:val="30"/>
        <w:keepNext w:val="0"/>
        <w:keepLines w:val="0"/>
        <w:pageBreakBefore w:val="0"/>
        <w:kinsoku/>
        <w:wordWrap/>
        <w:overflowPunct/>
        <w:topLinePunct w:val="0"/>
        <w:bidi w:val="0"/>
        <w:spacing w:line="360" w:lineRule="auto"/>
        <w:ind w:left="0" w:leftChars="0" w:firstLine="0" w:firstLine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582545" cy="1767840"/>
            <wp:effectExtent l="0" t="0" r="8255" b="3810"/>
            <wp:docPr id="3" name="图片 3" descr="D:/zyy/教学实验室/年报/2025/修改/成稿006(1).jpg成稿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zyy/教学实验室/年报/2025/修改/成稿006(1).jpg成稿006(1)"/>
                    <pic:cNvPicPr>
                      <a:picLocks noChangeAspect="1"/>
                    </pic:cNvPicPr>
                  </pic:nvPicPr>
                  <pic:blipFill>
                    <a:blip r:embed="rId7"/>
                    <a:srcRect l="36" r="36"/>
                    <a:stretch>
                      <a:fillRect/>
                    </a:stretch>
                  </pic:blipFill>
                  <pic:spPr>
                    <a:xfrm>
                      <a:off x="0" y="0"/>
                      <a:ext cx="2582545" cy="176784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645410" cy="1764030"/>
            <wp:effectExtent l="0" t="0" r="2540" b="7620"/>
            <wp:docPr id="4" name="图片 4" descr="D:/zyy/教学实验室/年报/2025/修改/微信图片_20260403110606_132_620.jpg微信图片_20260403110606_132_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zyy/教学实验室/年报/2025/修改/微信图片_20260403110606_132_620.jpg微信图片_20260403110606_132_620"/>
                    <pic:cNvPicPr>
                      <a:picLocks noChangeAspect="1"/>
                    </pic:cNvPicPr>
                  </pic:nvPicPr>
                  <pic:blipFill>
                    <a:blip r:embed="rId8"/>
                    <a:srcRect l="18" r="18"/>
                    <a:stretch>
                      <a:fillRect/>
                    </a:stretch>
                  </pic:blipFill>
                  <pic:spPr>
                    <a:xfrm>
                      <a:off x="0" y="0"/>
                      <a:ext cx="2645410" cy="1764030"/>
                    </a:xfrm>
                    <a:prstGeom prst="rect">
                      <a:avLst/>
                    </a:prstGeom>
                  </pic:spPr>
                </pic:pic>
              </a:graphicData>
            </a:graphic>
          </wp:inline>
        </w:drawing>
      </w:r>
    </w:p>
    <w:p w14:paraId="2BB093E0">
      <w:pPr>
        <w:pStyle w:val="30"/>
        <w:keepNext w:val="0"/>
        <w:keepLines w:val="0"/>
        <w:pageBreakBefore w:val="0"/>
        <w:kinsoku/>
        <w:wordWrap/>
        <w:overflowPunct/>
        <w:topLinePunct w:val="0"/>
        <w:bidi w:val="0"/>
        <w:spacing w:line="360" w:lineRule="auto"/>
        <w:ind w:left="0" w:leftChars="0" w:firstLine="0" w:firstLineChars="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380230" cy="2920365"/>
            <wp:effectExtent l="0" t="0" r="1270" b="1333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9"/>
                    <a:stretch>
                      <a:fillRect/>
                    </a:stretch>
                  </pic:blipFill>
                  <pic:spPr>
                    <a:xfrm>
                      <a:off x="0" y="0"/>
                      <a:ext cx="4380230" cy="2920365"/>
                    </a:xfrm>
                    <a:prstGeom prst="rect">
                      <a:avLst/>
                    </a:prstGeom>
                    <a:noFill/>
                    <a:ln w="9525">
                      <a:noFill/>
                    </a:ln>
                  </pic:spPr>
                </pic:pic>
              </a:graphicData>
            </a:graphic>
          </wp:inline>
        </w:drawing>
      </w:r>
    </w:p>
    <w:p w14:paraId="6148F02C">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bCs/>
          <w:sz w:val="28"/>
          <w:szCs w:val="32"/>
        </w:rPr>
      </w:pPr>
      <w:r>
        <w:rPr>
          <w:rFonts w:hint="eastAsia" w:ascii="楷体" w:hAnsi="楷体" w:eastAsia="楷体" w:cs="楷体"/>
          <w:b/>
          <w:bCs/>
          <w:sz w:val="28"/>
          <w:szCs w:val="32"/>
          <w:lang w:val="en-US" w:eastAsia="zh-CN"/>
        </w:rPr>
        <w:t>2</w:t>
      </w:r>
      <w:r>
        <w:rPr>
          <w:rFonts w:hint="eastAsia" w:ascii="楷体" w:hAnsi="楷体" w:eastAsia="楷体" w:cs="楷体"/>
          <w:b/>
          <w:bCs/>
          <w:sz w:val="28"/>
          <w:szCs w:val="32"/>
        </w:rPr>
        <w:t>.我院智慧教学案例获2025年全国高校教师教学发展中心工作会表彰</w:t>
      </w:r>
    </w:p>
    <w:p w14:paraId="59E89D71">
      <w:pPr>
        <w:pStyle w:val="30"/>
        <w:keepNext w:val="0"/>
        <w:keepLines w:val="0"/>
        <w:pageBreakBefore w:val="0"/>
        <w:kinsoku/>
        <w:wordWrap/>
        <w:overflowPunct/>
        <w:topLinePunct w:val="0"/>
        <w:bidi w:val="0"/>
        <w:spacing w:line="360" w:lineRule="auto"/>
        <w:textAlignment w:val="auto"/>
        <w:rPr>
          <w:rFonts w:hint="default" w:ascii="Times New Roman" w:hAnsi="Times New Roman" w:eastAsia="仿宋" w:cs="Times New Roman"/>
          <w:color w:val="auto"/>
          <w:kern w:val="2"/>
          <w:sz w:val="28"/>
          <w:szCs w:val="28"/>
        </w:rPr>
      </w:pPr>
      <w:r>
        <w:rPr>
          <w:rFonts w:hint="default" w:ascii="Times New Roman" w:hAnsi="Times New Roman" w:eastAsia="仿宋" w:cs="Times New Roman"/>
          <w:color w:val="auto"/>
          <w:kern w:val="2"/>
          <w:sz w:val="28"/>
          <w:szCs w:val="28"/>
        </w:rPr>
        <w:t>2025年11月7日，由教育部高等教育司指导的“全国高校教师教学发展中心工作会”在北京召开。我院报送的“《口腔正畸学》智慧教学模式创新与实践”案例成功入选，充分体现了学院在推动教师教学能力提升与教学模式创新方面取得的扎实成效。</w:t>
      </w:r>
    </w:p>
    <w:p w14:paraId="00A68693">
      <w:pPr>
        <w:pStyle w:val="30"/>
        <w:keepNext w:val="0"/>
        <w:keepLines w:val="0"/>
        <w:pageBreakBefore w:val="0"/>
        <w:kinsoku/>
        <w:wordWrap/>
        <w:overflowPunct/>
        <w:topLinePunct w:val="0"/>
        <w:bidi w:val="0"/>
        <w:spacing w:line="360" w:lineRule="auto"/>
        <w:ind w:left="0" w:leftChars="0" w:firstLine="0" w:firstLineChars="0"/>
        <w:textAlignment w:val="auto"/>
        <w:rPr>
          <w:rFonts w:hint="eastAsia" w:ascii="Times New Roman" w:hAnsi="Times New Roman" w:eastAsia="仿宋" w:cs="Times New Roman"/>
          <w:color w:val="auto"/>
          <w:kern w:val="2"/>
          <w:sz w:val="28"/>
          <w:szCs w:val="28"/>
          <w:lang w:val="en-US" w:eastAsia="zh-CN"/>
        </w:rPr>
      </w:pPr>
      <w:r>
        <w:rPr>
          <w:rFonts w:hint="eastAsia" w:ascii="Times New Roman" w:hAnsi="Times New Roman" w:eastAsia="仿宋" w:cs="Times New Roman"/>
          <w:color w:val="auto"/>
          <w:kern w:val="2"/>
          <w:sz w:val="28"/>
          <w:szCs w:val="28"/>
          <w:lang w:eastAsia="zh-CN"/>
        </w:rPr>
        <w:drawing>
          <wp:inline distT="0" distB="0" distL="114300" distR="114300">
            <wp:extent cx="5263515" cy="2382520"/>
            <wp:effectExtent l="0" t="0" r="13335" b="17780"/>
            <wp:docPr id="18"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
                    <pic:cNvPicPr>
                      <a:picLocks noChangeAspect="1"/>
                    </pic:cNvPicPr>
                  </pic:nvPicPr>
                  <pic:blipFill>
                    <a:blip r:embed="rId10"/>
                    <a:stretch>
                      <a:fillRect/>
                    </a:stretch>
                  </pic:blipFill>
                  <pic:spPr>
                    <a:xfrm>
                      <a:off x="0" y="0"/>
                      <a:ext cx="5263515" cy="2382520"/>
                    </a:xfrm>
                    <a:prstGeom prst="rect">
                      <a:avLst/>
                    </a:prstGeom>
                  </pic:spPr>
                </pic:pic>
              </a:graphicData>
            </a:graphic>
          </wp:inline>
        </w:drawing>
      </w:r>
    </w:p>
    <w:p w14:paraId="5F0AA878">
      <w:pPr>
        <w:keepNext w:val="0"/>
        <w:keepLines w:val="0"/>
        <w:pageBreakBefore w:val="0"/>
        <w:widowControl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bCs/>
          <w:sz w:val="28"/>
          <w:szCs w:val="32"/>
        </w:rPr>
      </w:pPr>
      <w:r>
        <w:rPr>
          <w:rFonts w:hint="eastAsia" w:ascii="楷体" w:hAnsi="楷体" w:eastAsia="楷体" w:cs="楷体"/>
          <w:b/>
          <w:bCs/>
          <w:sz w:val="28"/>
          <w:szCs w:val="32"/>
          <w:lang w:val="en-US" w:eastAsia="zh-CN"/>
        </w:rPr>
        <w:t>3</w:t>
      </w:r>
      <w:r>
        <w:rPr>
          <w:rFonts w:hint="eastAsia" w:ascii="楷体" w:hAnsi="楷体" w:eastAsia="楷体" w:cs="楷体"/>
          <w:b/>
          <w:bCs/>
          <w:sz w:val="28"/>
          <w:szCs w:val="32"/>
        </w:rPr>
        <w:t>.我院成功举办"一带一路"微创数字化牙体牙髓诊疗技术国际培训班开幕式</w:t>
      </w:r>
    </w:p>
    <w:p w14:paraId="49BAE35A">
      <w:pPr>
        <w:pStyle w:val="30"/>
        <w:keepNext w:val="0"/>
        <w:keepLines w:val="0"/>
        <w:pageBreakBefore w:val="0"/>
        <w:kinsoku/>
        <w:wordWrap/>
        <w:overflowPunct/>
        <w:topLinePunct w:val="0"/>
        <w:bidi w:val="0"/>
        <w:spacing w:line="360" w:lineRule="auto"/>
        <w:textAlignment w:val="auto"/>
        <w:rPr>
          <w:rFonts w:hint="default" w:ascii="Times New Roman" w:hAnsi="Times New Roman" w:eastAsia="仿宋" w:cs="Times New Roman"/>
          <w:color w:val="auto"/>
          <w:kern w:val="2"/>
          <w:sz w:val="28"/>
          <w:szCs w:val="28"/>
        </w:rPr>
      </w:pPr>
      <w:r>
        <w:rPr>
          <w:rFonts w:hint="default" w:ascii="Times New Roman" w:hAnsi="Times New Roman" w:eastAsia="仿宋" w:cs="Times New Roman"/>
          <w:color w:val="auto"/>
          <w:kern w:val="2"/>
          <w:sz w:val="28"/>
          <w:szCs w:val="28"/>
        </w:rPr>
        <w:t>2025年6月9日，"一带一路"微创数字化牙体牙髓诊疗技术国际培训班在我院隆重开幕</w:t>
      </w:r>
      <w:r>
        <w:rPr>
          <w:rFonts w:hint="eastAsia" w:ascii="Times New Roman" w:hAnsi="Times New Roman" w:eastAsia="仿宋" w:cs="Times New Roman"/>
          <w:color w:val="auto"/>
          <w:kern w:val="2"/>
          <w:sz w:val="28"/>
          <w:szCs w:val="28"/>
          <w:lang w:eastAsia="zh-CN"/>
        </w:rPr>
        <w:t>，</w:t>
      </w:r>
      <w:r>
        <w:rPr>
          <w:rFonts w:hint="default" w:ascii="Times New Roman" w:hAnsi="Times New Roman" w:eastAsia="仿宋" w:cs="Times New Roman"/>
          <w:color w:val="auto"/>
          <w:kern w:val="2"/>
          <w:sz w:val="28"/>
          <w:szCs w:val="28"/>
        </w:rPr>
        <w:t>本次培训为期两周，汇聚“一带一路”沿线13个国家学员，由国际顶尖专家和我院牙体牙髓病科团队联合授课，重点培养微创数字化诊疗的核心能力。</w:t>
      </w:r>
    </w:p>
    <w:p w14:paraId="6D3DBA5E">
      <w:pPr>
        <w:keepNext w:val="0"/>
        <w:keepLines w:val="0"/>
        <w:pageBreakBefore w:val="0"/>
        <w:kinsoku/>
        <w:wordWrap/>
        <w:overflowPunct/>
        <w:topLinePunct w:val="0"/>
        <w:bidi w:val="0"/>
        <w:spacing w:line="360" w:lineRule="auto"/>
        <w:ind w:firstLine="480" w:firstLineChars="200"/>
        <w:textAlignment w:val="auto"/>
        <w:rPr>
          <w:rFonts w:hint="eastAsia" w:ascii="楷体" w:hAnsi="楷体" w:eastAsia="楷体" w:cs="仿宋_GB2312"/>
          <w:sz w:val="28"/>
          <w:szCs w:val="28"/>
        </w:rPr>
      </w:pPr>
      <w:r>
        <w:drawing>
          <wp:inline distT="0" distB="0" distL="114300" distR="114300">
            <wp:extent cx="4469130" cy="2980055"/>
            <wp:effectExtent l="0" t="0" r="7620" b="10795"/>
            <wp:docPr id="2" name="图片 2" descr="CJ__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J__8851"/>
                    <pic:cNvPicPr>
                      <a:picLocks noChangeAspect="1"/>
                    </pic:cNvPicPr>
                  </pic:nvPicPr>
                  <pic:blipFill>
                    <a:blip r:embed="rId11"/>
                    <a:stretch>
                      <a:fillRect/>
                    </a:stretch>
                  </pic:blipFill>
                  <pic:spPr>
                    <a:xfrm>
                      <a:off x="0" y="0"/>
                      <a:ext cx="4469130" cy="2980055"/>
                    </a:xfrm>
                    <a:prstGeom prst="rect">
                      <a:avLst/>
                    </a:prstGeom>
                  </pic:spPr>
                </pic:pic>
              </a:graphicData>
            </a:graphic>
          </wp:inline>
        </w:drawing>
      </w:r>
    </w:p>
    <w:p w14:paraId="56F4AF2B">
      <w:pPr>
        <w:keepNext w:val="0"/>
        <w:keepLines w:val="0"/>
        <w:pageBreakBefore w:val="0"/>
        <w:kinsoku/>
        <w:wordWrap/>
        <w:overflowPunct/>
        <w:topLinePunct w:val="0"/>
        <w:bidi w:val="0"/>
        <w:spacing w:line="360" w:lineRule="auto"/>
        <w:ind w:firstLine="560" w:firstLineChars="200"/>
        <w:textAlignment w:val="auto"/>
        <w:rPr>
          <w:rFonts w:hint="eastAsia" w:ascii="黑体" w:hAnsi="黑体" w:eastAsia="黑体" w:cs="仿宋_GB2312"/>
          <w:sz w:val="28"/>
          <w:szCs w:val="28"/>
        </w:rPr>
      </w:pPr>
      <w:r>
        <w:rPr>
          <w:rFonts w:hint="eastAsia" w:ascii="黑体" w:hAnsi="黑体" w:eastAsia="黑体" w:cs="仿宋_GB2312"/>
          <w:sz w:val="28"/>
          <w:szCs w:val="28"/>
        </w:rPr>
        <w:t>六、示范中心存在的主要问题</w:t>
      </w:r>
    </w:p>
    <w:p w14:paraId="56C6F3B7">
      <w:pPr>
        <w:keepNext w:val="0"/>
        <w:keepLines w:val="0"/>
        <w:pageBreakBefore w:val="0"/>
        <w:kinsoku/>
        <w:wordWrap/>
        <w:overflowPunct/>
        <w:topLinePunct w:val="0"/>
        <w:bidi w:val="0"/>
        <w:adjustRightInd w:val="0"/>
        <w:snapToGrid w:val="0"/>
        <w:spacing w:line="360" w:lineRule="auto"/>
        <w:ind w:firstLine="560" w:firstLineChars="200"/>
        <w:textAlignment w:val="auto"/>
        <w:rPr>
          <w:rFonts w:hint="eastAsia" w:ascii="Times New Roman" w:hAnsi="Times New Roman" w:eastAsia="仿宋" w:cs="Times New Roman"/>
          <w:sz w:val="28"/>
          <w:szCs w:val="28"/>
          <w:highlight w:val="none"/>
        </w:rPr>
      </w:pPr>
      <w:r>
        <w:rPr>
          <w:rFonts w:hint="eastAsia" w:ascii="Times New Roman" w:hAnsi="Times New Roman" w:eastAsia="仿宋" w:cs="Times New Roman"/>
          <w:sz w:val="28"/>
          <w:szCs w:val="28"/>
          <w:highlight w:val="none"/>
          <w:lang w:val="en-US" w:eastAsia="zh-CN"/>
        </w:rPr>
        <w:t>现有教学体系智能化程度不足，缺乏对师生动态数据的采集、分析和监测，难以支撑学生个性化路径的精准规划。</w:t>
      </w:r>
    </w:p>
    <w:p w14:paraId="48AB51F5">
      <w:pPr>
        <w:keepNext w:val="0"/>
        <w:keepLines w:val="0"/>
        <w:pageBreakBefore w:val="0"/>
        <w:kinsoku/>
        <w:wordWrap/>
        <w:overflowPunct/>
        <w:topLinePunct w:val="0"/>
        <w:bidi w:val="0"/>
        <w:spacing w:line="360" w:lineRule="auto"/>
        <w:ind w:firstLine="560" w:firstLineChars="200"/>
        <w:textAlignment w:val="auto"/>
        <w:rPr>
          <w:rFonts w:hint="eastAsia" w:ascii="黑体" w:hAnsi="黑体" w:eastAsia="黑体" w:cs="仿宋_GB2312"/>
          <w:sz w:val="28"/>
          <w:szCs w:val="28"/>
        </w:rPr>
      </w:pPr>
      <w:r>
        <w:rPr>
          <w:rFonts w:hint="eastAsia" w:ascii="黑体" w:hAnsi="黑体" w:eastAsia="黑体" w:cs="仿宋_GB2312"/>
          <w:sz w:val="28"/>
          <w:szCs w:val="28"/>
        </w:rPr>
        <w:t>七、</w:t>
      </w:r>
      <w:bookmarkStart w:id="4" w:name="OLE_LINK29"/>
      <w:bookmarkStart w:id="5" w:name="OLE_LINK27"/>
      <w:bookmarkStart w:id="6" w:name="OLE_LINK33"/>
      <w:bookmarkStart w:id="7" w:name="OLE_LINK62"/>
      <w:bookmarkStart w:id="8" w:name="OLE_LINK2"/>
      <w:bookmarkStart w:id="9" w:name="OLE_LINK80"/>
      <w:bookmarkStart w:id="10" w:name="OLE_LINK67"/>
      <w:bookmarkStart w:id="11" w:name="OLE_LINK24"/>
      <w:bookmarkStart w:id="12" w:name="OLE_LINK36"/>
      <w:bookmarkStart w:id="13" w:name="OLE_LINK7"/>
      <w:bookmarkStart w:id="14" w:name="OLE_LINK99"/>
      <w:bookmarkStart w:id="15" w:name="OLE_LINK56"/>
      <w:bookmarkStart w:id="16" w:name="OLE_LINK3"/>
      <w:bookmarkStart w:id="17" w:name="OLE_LINK102"/>
      <w:bookmarkStart w:id="18" w:name="OLE_LINK77"/>
      <w:bookmarkStart w:id="19" w:name="OLE_LINK71"/>
      <w:bookmarkStart w:id="20" w:name="OLE_LINK11"/>
      <w:bookmarkStart w:id="21" w:name="OLE_LINK75"/>
      <w:bookmarkStart w:id="22" w:name="OLE_LINK52"/>
      <w:bookmarkStart w:id="23" w:name="OLE_LINK88"/>
      <w:bookmarkStart w:id="24" w:name="OLE_LINK13"/>
      <w:bookmarkStart w:id="25" w:name="OLE_LINK68"/>
      <w:bookmarkStart w:id="26" w:name="OLE_LINK43"/>
      <w:bookmarkStart w:id="27" w:name="OLE_LINK4"/>
      <w:bookmarkStart w:id="28" w:name="OLE_LINK96"/>
      <w:bookmarkStart w:id="29" w:name="OLE_LINK94"/>
      <w:bookmarkStart w:id="30" w:name="OLE_LINK61"/>
      <w:bookmarkStart w:id="31" w:name="OLE_LINK97"/>
      <w:bookmarkStart w:id="32" w:name="OLE_LINK59"/>
      <w:bookmarkStart w:id="33" w:name="OLE_LINK51"/>
      <w:bookmarkStart w:id="34" w:name="OLE_LINK40"/>
      <w:bookmarkStart w:id="35" w:name="OLE_LINK9"/>
      <w:bookmarkStart w:id="36" w:name="OLE_LINK46"/>
      <w:bookmarkStart w:id="37" w:name="OLE_LINK84"/>
      <w:bookmarkStart w:id="38" w:name="OLE_LINK60"/>
      <w:bookmarkStart w:id="39" w:name="OLE_LINK18"/>
      <w:bookmarkStart w:id="40" w:name="OLE_LINK15"/>
      <w:bookmarkStart w:id="41" w:name="OLE_LINK20"/>
      <w:bookmarkStart w:id="42" w:name="OLE_LINK19"/>
      <w:bookmarkStart w:id="43" w:name="OLE_LINK42"/>
      <w:bookmarkStart w:id="44" w:name="OLE_LINK85"/>
      <w:bookmarkStart w:id="45" w:name="OLE_LINK38"/>
      <w:bookmarkStart w:id="46" w:name="OLE_LINK47"/>
      <w:bookmarkStart w:id="47" w:name="OLE_LINK26"/>
      <w:bookmarkStart w:id="48" w:name="OLE_LINK8"/>
      <w:bookmarkStart w:id="49" w:name="OLE_LINK98"/>
      <w:bookmarkStart w:id="50" w:name="OLE_LINK57"/>
      <w:bookmarkStart w:id="51" w:name="OLE_LINK35"/>
      <w:bookmarkStart w:id="52" w:name="OLE_LINK28"/>
      <w:bookmarkStart w:id="53" w:name="OLE_LINK65"/>
      <w:bookmarkStart w:id="54" w:name="OLE_LINK64"/>
      <w:bookmarkStart w:id="55" w:name="OLE_LINK79"/>
      <w:bookmarkStart w:id="56" w:name="OLE_LINK55"/>
      <w:bookmarkStart w:id="57" w:name="OLE_LINK49"/>
      <w:bookmarkStart w:id="58" w:name="OLE_LINK23"/>
      <w:bookmarkStart w:id="59" w:name="OLE_LINK101"/>
      <w:bookmarkStart w:id="60" w:name="OLE_LINK90"/>
      <w:bookmarkStart w:id="61" w:name="OLE_LINK25"/>
      <w:bookmarkStart w:id="62" w:name="OLE_LINK34"/>
      <w:bookmarkStart w:id="63" w:name="OLE_LINK41"/>
      <w:bookmarkStart w:id="64" w:name="OLE_LINK22"/>
      <w:bookmarkStart w:id="65" w:name="OLE_LINK30"/>
      <w:bookmarkStart w:id="66" w:name="OLE_LINK63"/>
      <w:bookmarkStart w:id="67" w:name="OLE_LINK6"/>
      <w:bookmarkStart w:id="68" w:name="OLE_LINK50"/>
      <w:bookmarkStart w:id="69" w:name="OLE_LINK45"/>
      <w:bookmarkStart w:id="70" w:name="OLE_LINK53"/>
      <w:bookmarkStart w:id="71" w:name="OLE_LINK95"/>
      <w:bookmarkStart w:id="72" w:name="OLE_LINK100"/>
      <w:bookmarkStart w:id="73" w:name="OLE_LINK10"/>
      <w:bookmarkStart w:id="74" w:name="OLE_LINK87"/>
      <w:bookmarkStart w:id="75" w:name="OLE_LINK81"/>
      <w:bookmarkStart w:id="76" w:name="OLE_LINK78"/>
      <w:bookmarkStart w:id="77" w:name="OLE_LINK12"/>
      <w:bookmarkStart w:id="78" w:name="OLE_LINK93"/>
      <w:bookmarkStart w:id="79" w:name="OLE_LINK48"/>
      <w:bookmarkStart w:id="80" w:name="OLE_LINK103"/>
      <w:bookmarkStart w:id="81" w:name="OLE_LINK70"/>
      <w:bookmarkStart w:id="82" w:name="OLE_LINK14"/>
      <w:bookmarkStart w:id="83" w:name="OLE_LINK73"/>
      <w:bookmarkStart w:id="84" w:name="OLE_LINK58"/>
      <w:bookmarkStart w:id="85" w:name="OLE_LINK44"/>
      <w:bookmarkStart w:id="86" w:name="OLE_LINK5"/>
      <w:bookmarkStart w:id="87" w:name="OLE_LINK92"/>
      <w:bookmarkStart w:id="88" w:name="OLE_LINK16"/>
      <w:bookmarkStart w:id="89" w:name="OLE_LINK69"/>
      <w:bookmarkStart w:id="90" w:name="OLE_LINK83"/>
      <w:bookmarkStart w:id="91" w:name="OLE_LINK17"/>
      <w:bookmarkStart w:id="92" w:name="OLE_LINK21"/>
      <w:bookmarkStart w:id="93" w:name="OLE_LINK39"/>
      <w:bookmarkStart w:id="94" w:name="OLE_LINK66"/>
      <w:bookmarkStart w:id="95" w:name="OLE_LINK31"/>
      <w:bookmarkStart w:id="96" w:name="OLE_LINK91"/>
      <w:bookmarkStart w:id="97" w:name="OLE_LINK74"/>
      <w:bookmarkStart w:id="98" w:name="OLE_LINK82"/>
      <w:bookmarkStart w:id="99" w:name="OLE_LINK89"/>
      <w:bookmarkStart w:id="100" w:name="OLE_LINK72"/>
      <w:bookmarkStart w:id="101" w:name="OLE_LINK54"/>
      <w:bookmarkStart w:id="102" w:name="OLE_LINK1"/>
      <w:bookmarkStart w:id="103" w:name="OLE_LINK32"/>
      <w:bookmarkStart w:id="104" w:name="OLE_LINK76"/>
      <w:bookmarkStart w:id="105" w:name="OLE_LINK37"/>
      <w:bookmarkStart w:id="106" w:name="OLE_LINK86"/>
      <w:r>
        <w:rPr>
          <w:rFonts w:hint="eastAsia" w:ascii="黑体" w:hAnsi="黑体" w:eastAsia="黑体" w:cs="仿宋_GB2312"/>
          <w:sz w:val="28"/>
          <w:szCs w:val="28"/>
        </w:rPr>
        <w:t>所在学校与学校上级主管部门</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Pr>
          <w:rFonts w:hint="eastAsia" w:ascii="黑体" w:hAnsi="黑体" w:eastAsia="黑体" w:cs="仿宋_GB2312"/>
          <w:sz w:val="28"/>
          <w:szCs w:val="28"/>
        </w:rPr>
        <w:t>的支持</w:t>
      </w:r>
    </w:p>
    <w:p w14:paraId="4C40B93D">
      <w:pPr>
        <w:keepNext w:val="0"/>
        <w:keepLines w:val="0"/>
        <w:pageBreakBefore w:val="0"/>
        <w:kinsoku/>
        <w:wordWrap/>
        <w:overflowPunct/>
        <w:topLinePunct w:val="0"/>
        <w:bidi w:val="0"/>
        <w:adjustRightInd w:val="0"/>
        <w:snapToGrid w:val="0"/>
        <w:spacing w:line="360" w:lineRule="auto"/>
        <w:ind w:firstLine="562" w:firstLineChars="200"/>
        <w:textAlignment w:val="auto"/>
        <w:rPr>
          <w:rFonts w:hint="eastAsia" w:ascii="楷体" w:hAnsi="楷体" w:eastAsia="楷体" w:cs="楷体"/>
          <w:b/>
          <w:sz w:val="28"/>
          <w:szCs w:val="28"/>
        </w:rPr>
      </w:pPr>
      <w:r>
        <w:rPr>
          <w:rFonts w:hint="eastAsia" w:ascii="楷体" w:hAnsi="楷体" w:eastAsia="楷体" w:cs="楷体"/>
          <w:b/>
          <w:sz w:val="28"/>
          <w:szCs w:val="28"/>
        </w:rPr>
        <w:t>（一）实验师资队伍建设支持</w:t>
      </w:r>
    </w:p>
    <w:p w14:paraId="5B51422C">
      <w:pPr>
        <w:keepNext w:val="0"/>
        <w:keepLines w:val="0"/>
        <w:pageBreakBefore w:val="0"/>
        <w:kinsoku/>
        <w:wordWrap/>
        <w:overflowPunct/>
        <w:topLinePunct w:val="0"/>
        <w:bidi w:val="0"/>
        <w:adjustRightInd w:val="0"/>
        <w:snapToGrid w:val="0"/>
        <w:spacing w:line="360" w:lineRule="auto"/>
        <w:ind w:firstLine="560" w:firstLineChars="200"/>
        <w:textAlignment w:val="auto"/>
        <w:rPr>
          <w:rFonts w:ascii="Times New Roman" w:hAnsi="Times New Roman" w:eastAsia="仿宋"/>
          <w:sz w:val="28"/>
          <w:szCs w:val="28"/>
        </w:rPr>
      </w:pPr>
      <w:r>
        <w:rPr>
          <w:rFonts w:hint="eastAsia" w:ascii="Times New Roman" w:hAnsi="Times New Roman" w:eastAsia="仿宋" w:cs="Times New Roman"/>
          <w:sz w:val="28"/>
          <w:szCs w:val="28"/>
          <w:highlight w:val="none"/>
        </w:rPr>
        <w:t>在学校统一组织与经费支持下，中心多次派实验队伍参加国家级实验教学示范中心联席会等相关会议和多项教学培训活动，有力提升了实验教学管理、实验教辅、技术队伍的学术理论水平和技能水准。</w:t>
      </w:r>
    </w:p>
    <w:p w14:paraId="78699EF7">
      <w:pPr>
        <w:keepNext w:val="0"/>
        <w:keepLines w:val="0"/>
        <w:pageBreakBefore w:val="0"/>
        <w:kinsoku/>
        <w:wordWrap/>
        <w:overflowPunct/>
        <w:topLinePunct w:val="0"/>
        <w:bidi w:val="0"/>
        <w:adjustRightInd w:val="0"/>
        <w:snapToGrid w:val="0"/>
        <w:spacing w:line="360" w:lineRule="auto"/>
        <w:ind w:firstLine="562" w:firstLineChars="200"/>
        <w:textAlignment w:val="auto"/>
        <w:rPr>
          <w:rFonts w:hint="eastAsia" w:ascii="楷体" w:hAnsi="楷体" w:eastAsia="楷体" w:cs="仿宋_GB2312"/>
          <w:b/>
          <w:sz w:val="28"/>
          <w:szCs w:val="28"/>
          <w:highlight w:val="none"/>
        </w:rPr>
      </w:pPr>
      <w:r>
        <w:rPr>
          <w:rFonts w:hint="eastAsia" w:ascii="楷体" w:hAnsi="楷体" w:eastAsia="楷体" w:cs="楷体"/>
          <w:b/>
          <w:sz w:val="28"/>
          <w:szCs w:val="28"/>
        </w:rPr>
        <w:t>（二）各项经费支持保障中</w:t>
      </w:r>
      <w:r>
        <w:rPr>
          <w:rFonts w:hint="eastAsia" w:ascii="楷体" w:hAnsi="楷体" w:eastAsia="楷体" w:cs="楷体"/>
          <w:b/>
          <w:sz w:val="28"/>
          <w:szCs w:val="28"/>
          <w:highlight w:val="none"/>
        </w:rPr>
        <w:t>心建设</w:t>
      </w:r>
    </w:p>
    <w:p w14:paraId="16767DC5">
      <w:pPr>
        <w:keepNext w:val="0"/>
        <w:keepLines w:val="0"/>
        <w:pageBreakBefore w:val="0"/>
        <w:kinsoku/>
        <w:wordWrap/>
        <w:overflowPunct/>
        <w:topLinePunct w:val="0"/>
        <w:bidi w:val="0"/>
        <w:adjustRightInd w:val="0"/>
        <w:snapToGrid w:val="0"/>
        <w:spacing w:line="360" w:lineRule="auto"/>
        <w:ind w:firstLine="560" w:firstLineChars="200"/>
        <w:textAlignment w:val="auto"/>
        <w:rPr>
          <w:rFonts w:hint="eastAsia" w:ascii="黑体" w:hAnsi="黑体" w:eastAsia="黑体" w:cs="仿宋_GB2312"/>
          <w:sz w:val="28"/>
          <w:szCs w:val="28"/>
        </w:rPr>
      </w:pPr>
      <w:r>
        <w:rPr>
          <w:rFonts w:hint="eastAsia" w:ascii="Times New Roman" w:hAnsi="Times New Roman" w:eastAsia="仿宋" w:cs="Times New Roman"/>
          <w:sz w:val="28"/>
          <w:szCs w:val="28"/>
          <w:highlight w:val="none"/>
          <w:lang w:val="en-US" w:eastAsia="zh-CN"/>
        </w:rPr>
        <w:t>在学校、实验室及设备管理处大力支持下，中心完成2楼、3楼实验室仿头模设备更新升级，显著改善中心教学环境；耗材购置、设备维修等方面的经费有力保障实验教学课程及活动正常开展。</w:t>
      </w:r>
    </w:p>
    <w:p w14:paraId="4D6D6622">
      <w:pPr>
        <w:keepNext w:val="0"/>
        <w:keepLines w:val="0"/>
        <w:pageBreakBefore w:val="0"/>
        <w:kinsoku/>
        <w:wordWrap/>
        <w:overflowPunct/>
        <w:topLinePunct w:val="0"/>
        <w:bidi w:val="0"/>
        <w:spacing w:line="360" w:lineRule="auto"/>
        <w:ind w:firstLine="560" w:firstLineChars="200"/>
        <w:textAlignment w:val="auto"/>
        <w:rPr>
          <w:rFonts w:ascii="黑体" w:hAnsi="黑体" w:eastAsia="黑体" w:cs="仿宋_GB2312"/>
          <w:sz w:val="28"/>
          <w:szCs w:val="28"/>
        </w:rPr>
      </w:pPr>
      <w:r>
        <w:rPr>
          <w:rFonts w:hint="eastAsia" w:ascii="黑体" w:hAnsi="黑体" w:eastAsia="黑体" w:cs="仿宋_GB2312"/>
          <w:sz w:val="28"/>
          <w:szCs w:val="28"/>
        </w:rPr>
        <w:t>八、下一年发展思路</w:t>
      </w:r>
    </w:p>
    <w:p w14:paraId="28B89727">
      <w:pPr>
        <w:keepNext w:val="0"/>
        <w:keepLines w:val="0"/>
        <w:pageBreakBefore w:val="0"/>
        <w:kinsoku/>
        <w:wordWrap/>
        <w:overflowPunct/>
        <w:topLinePunct w:val="0"/>
        <w:bidi w:val="0"/>
        <w:adjustRightInd w:val="0"/>
        <w:snapToGrid w:val="0"/>
        <w:spacing w:line="360" w:lineRule="auto"/>
        <w:ind w:firstLine="560" w:firstLineChars="200"/>
        <w:textAlignment w:val="auto"/>
        <w:rPr>
          <w:rFonts w:hint="eastAsia" w:ascii="Times New Roman" w:hAnsi="Times New Roman" w:eastAsia="仿宋" w:cs="Times New Roman"/>
          <w:sz w:val="28"/>
          <w:szCs w:val="28"/>
          <w:highlight w:val="none"/>
          <w:lang w:val="en-US" w:eastAsia="zh-CN"/>
        </w:rPr>
      </w:pPr>
      <w:r>
        <w:rPr>
          <w:rFonts w:hint="eastAsia" w:ascii="Times New Roman" w:hAnsi="Times New Roman" w:eastAsia="仿宋" w:cs="Times New Roman"/>
          <w:sz w:val="28"/>
          <w:szCs w:val="28"/>
          <w:highlight w:val="none"/>
          <w:lang w:val="en-US" w:eastAsia="zh-CN"/>
        </w:rPr>
        <w:t>推动建设IDEA未来学习中心2.0，在教学动态数据进行采集、分析和监测基础上，绘制智能化学情画像，AI精准规划学生个性化学习路径；基于实验室智慧管理平台完善开放预约管理制度，支撑学生自主学习与教师教学研究。</w:t>
      </w:r>
    </w:p>
    <w:p w14:paraId="78F4097B">
      <w:pPr>
        <w:keepNext w:val="0"/>
        <w:keepLines w:val="0"/>
        <w:pageBreakBefore w:val="0"/>
        <w:kinsoku/>
        <w:wordWrap/>
        <w:overflowPunct/>
        <w:topLinePunct w:val="0"/>
        <w:bidi w:val="0"/>
        <w:adjustRightInd w:val="0"/>
        <w:snapToGrid w:val="0"/>
        <w:spacing w:line="360" w:lineRule="auto"/>
        <w:ind w:firstLine="560" w:firstLineChars="200"/>
        <w:textAlignment w:val="auto"/>
        <w:rPr>
          <w:rFonts w:hint="eastAsia" w:ascii="Times New Roman" w:hAnsi="Times New Roman" w:eastAsia="仿宋" w:cs="Times New Roman"/>
          <w:sz w:val="28"/>
          <w:szCs w:val="28"/>
          <w:highlight w:val="none"/>
        </w:rPr>
      </w:pPr>
    </w:p>
    <w:p w14:paraId="14C17C97">
      <w:pPr>
        <w:rPr>
          <w:rFonts w:ascii="楷体" w:hAnsi="楷体" w:eastAsia="楷体" w:cs="仿宋_GB2312"/>
          <w:sz w:val="28"/>
          <w:szCs w:val="28"/>
        </w:rPr>
      </w:pPr>
    </w:p>
    <w:p w14:paraId="6A58A1BB">
      <w:pPr>
        <w:ind w:firstLine="560" w:firstLineChars="200"/>
        <w:rPr>
          <w:rFonts w:ascii="楷体" w:hAnsi="楷体" w:eastAsia="楷体" w:cs="仿宋_GB2312"/>
          <w:sz w:val="28"/>
          <w:szCs w:val="28"/>
        </w:rPr>
      </w:pPr>
    </w:p>
    <w:p w14:paraId="75372AC9">
      <w:pPr>
        <w:ind w:firstLine="560" w:firstLineChars="200"/>
        <w:rPr>
          <w:rFonts w:ascii="黑体" w:hAnsi="黑体" w:eastAsia="黑体" w:cs="仿宋_GB2312"/>
          <w:sz w:val="28"/>
          <w:szCs w:val="28"/>
        </w:rPr>
      </w:pPr>
      <w:r>
        <w:rPr>
          <w:rFonts w:hint="eastAsia" w:ascii="黑体" w:hAnsi="黑体" w:eastAsia="黑体" w:cs="仿宋_GB2312"/>
          <w:sz w:val="28"/>
          <w:szCs w:val="28"/>
        </w:rPr>
        <w:t>注意事项及说明：</w:t>
      </w:r>
    </w:p>
    <w:p w14:paraId="60715DB3">
      <w:pPr>
        <w:ind w:firstLine="560" w:firstLineChars="200"/>
        <w:rPr>
          <w:rFonts w:ascii="楷体" w:hAnsi="楷体" w:eastAsia="楷体" w:cs="仿宋_GB2312"/>
          <w:sz w:val="28"/>
          <w:szCs w:val="28"/>
        </w:rPr>
      </w:pPr>
      <w:r>
        <w:rPr>
          <w:rFonts w:hint="eastAsia" w:ascii="楷体" w:hAnsi="楷体" w:eastAsia="楷体" w:cs="仿宋_GB2312"/>
          <w:sz w:val="28"/>
          <w:szCs w:val="28"/>
        </w:rPr>
        <w:t>1.文中内容与后面示范中心数据相对应，必须客观真实，避免使用“国内领先”“国际一流”等词。</w:t>
      </w:r>
    </w:p>
    <w:p w14:paraId="78247F74">
      <w:pPr>
        <w:ind w:firstLine="560" w:firstLineChars="200"/>
        <w:rPr>
          <w:rFonts w:hint="eastAsia" w:ascii="楷体" w:hAnsi="楷体" w:eastAsia="楷体" w:cs="仿宋_GB2312"/>
          <w:sz w:val="28"/>
          <w:szCs w:val="28"/>
        </w:rPr>
      </w:pPr>
      <w:r>
        <w:rPr>
          <w:rFonts w:hint="eastAsia" w:ascii="楷体" w:hAnsi="楷体" w:eastAsia="楷体" w:cs="仿宋_GB2312"/>
          <w:sz w:val="28"/>
          <w:szCs w:val="28"/>
        </w:rPr>
        <w:t>2.文中介绍的成果必须带有示范中心成员的署名。</w:t>
      </w:r>
    </w:p>
    <w:p w14:paraId="2F9A4C49">
      <w:pPr>
        <w:ind w:firstLine="560" w:firstLineChars="200"/>
        <w:rPr>
          <w:rFonts w:hint="eastAsia" w:ascii="黑体" w:hAnsi="黑体" w:eastAsia="黑体" w:cs="仿宋_GB2312"/>
          <w:sz w:val="28"/>
          <w:szCs w:val="28"/>
        </w:rPr>
      </w:pPr>
      <w:r>
        <w:rPr>
          <w:rFonts w:hint="eastAsia" w:ascii="楷体" w:hAnsi="楷体" w:eastAsia="楷体" w:cs="仿宋_GB2312"/>
          <w:sz w:val="28"/>
          <w:szCs w:val="28"/>
        </w:rPr>
        <w:t>3.年度报告的表格行数可据实调整，不设附件，请做好相关成果支撑材料的存档工作。</w:t>
      </w:r>
      <w:bookmarkStart w:id="107" w:name="_GoBack"/>
      <w:bookmarkEnd w:id="107"/>
    </w:p>
    <w:p w14:paraId="5F1B12E3">
      <w:pPr>
        <w:ind w:firstLine="560" w:firstLineChars="200"/>
        <w:rPr>
          <w:rFonts w:hint="eastAsia" w:ascii="黑体" w:hAnsi="黑体" w:eastAsia="黑体" w:cs="仿宋_GB2312"/>
          <w:sz w:val="28"/>
          <w:szCs w:val="28"/>
        </w:rPr>
      </w:pPr>
    </w:p>
    <w:p w14:paraId="2CB08A2C">
      <w:pPr>
        <w:ind w:firstLine="560" w:firstLineChars="200"/>
        <w:rPr>
          <w:rFonts w:hint="eastAsia" w:ascii="黑体" w:hAnsi="黑体" w:eastAsia="黑体" w:cs="仿宋_GB2312"/>
          <w:sz w:val="28"/>
          <w:szCs w:val="28"/>
        </w:rPr>
      </w:pPr>
    </w:p>
    <w:p w14:paraId="0BB18F8E">
      <w:pPr>
        <w:ind w:firstLine="560" w:firstLineChars="200"/>
        <w:rPr>
          <w:rFonts w:hint="eastAsia" w:ascii="黑体" w:hAnsi="黑体" w:eastAsia="黑体" w:cs="仿宋_GB2312"/>
          <w:sz w:val="28"/>
          <w:szCs w:val="28"/>
        </w:rPr>
      </w:pPr>
    </w:p>
    <w:p w14:paraId="3F03823F">
      <w:pPr>
        <w:ind w:firstLine="560" w:firstLineChars="200"/>
        <w:rPr>
          <w:rFonts w:hint="eastAsia" w:ascii="黑体" w:hAnsi="黑体" w:eastAsia="黑体" w:cs="仿宋_GB2312"/>
          <w:sz w:val="28"/>
          <w:szCs w:val="28"/>
        </w:rPr>
      </w:pPr>
    </w:p>
    <w:p w14:paraId="7DD187EC">
      <w:pPr>
        <w:ind w:firstLine="560" w:firstLineChars="200"/>
        <w:rPr>
          <w:rFonts w:hint="eastAsia" w:ascii="黑体" w:hAnsi="黑体" w:eastAsia="黑体" w:cs="仿宋_GB2312"/>
          <w:sz w:val="28"/>
          <w:szCs w:val="28"/>
        </w:rPr>
      </w:pPr>
    </w:p>
    <w:p w14:paraId="06F8BD8D">
      <w:pPr>
        <w:rPr>
          <w:rFonts w:hint="eastAsia" w:ascii="黑体" w:hAnsi="黑体" w:eastAsia="黑体" w:cs="仿宋_GB2312"/>
          <w:sz w:val="28"/>
          <w:szCs w:val="28"/>
        </w:rPr>
      </w:pPr>
    </w:p>
    <w:p w14:paraId="6AC1A779">
      <w:pPr>
        <w:widowControl/>
        <w:rPr>
          <w:rFonts w:ascii="仿宋" w:hAnsi="仿宋" w:eastAsia="仿宋" w:cs="Times New Roman"/>
          <w:kern w:val="0"/>
          <w:sz w:val="32"/>
          <w:szCs w:val="32"/>
        </w:rPr>
      </w:pPr>
    </w:p>
    <w:sectPr>
      <w:footerReference r:id="rId3" w:type="default"/>
      <w:pgSz w:w="11900" w:h="16840"/>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4409577"/>
    </w:sdtPr>
    <w:sdtContent>
      <w:p w14:paraId="2E46CF56">
        <w:pPr>
          <w:pStyle w:val="5"/>
          <w:jc w:val="center"/>
        </w:pPr>
        <w:r>
          <w:fldChar w:fldCharType="begin"/>
        </w:r>
        <w:r>
          <w:instrText xml:space="preserve">PAGE   \* MERGEFORMAT</w:instrText>
        </w:r>
        <w:r>
          <w:fldChar w:fldCharType="separate"/>
        </w:r>
        <w:r>
          <w:rPr>
            <w:lang w:val="zh-CN"/>
          </w:rPr>
          <w:t>11</w:t>
        </w:r>
        <w:r>
          <w:fldChar w:fldCharType="end"/>
        </w:r>
      </w:p>
    </w:sdtContent>
  </w:sdt>
  <w:p w14:paraId="6D8CE7C3">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07F8B"/>
    <w:multiLevelType w:val="singleLevel"/>
    <w:tmpl w:val="91F07F8B"/>
    <w:lvl w:ilvl="0" w:tentative="0">
      <w:start w:val="1"/>
      <w:numFmt w:val="decimal"/>
      <w:lvlText w:val="%1."/>
      <w:lvlJc w:val="left"/>
      <w:pPr>
        <w:tabs>
          <w:tab w:val="left" w:pos="312"/>
        </w:tabs>
      </w:pPr>
    </w:lvl>
  </w:abstractNum>
  <w:abstractNum w:abstractNumId="1">
    <w:nsid w:val="A714384E"/>
    <w:multiLevelType w:val="singleLevel"/>
    <w:tmpl w:val="A714384E"/>
    <w:lvl w:ilvl="0" w:tentative="0">
      <w:start w:val="2"/>
      <w:numFmt w:val="decimal"/>
      <w:suff w:val="nothing"/>
      <w:lvlText w:val="（%1）"/>
      <w:lvlJc w:val="left"/>
    </w:lvl>
  </w:abstractNum>
  <w:abstractNum w:abstractNumId="2">
    <w:nsid w:val="E3BA8FC6"/>
    <w:multiLevelType w:val="singleLevel"/>
    <w:tmpl w:val="E3BA8FC6"/>
    <w:lvl w:ilvl="0" w:tentative="0">
      <w:start w:val="2"/>
      <w:numFmt w:val="chineseCounting"/>
      <w:suff w:val="nothing"/>
      <w:lvlText w:val="（%1）"/>
      <w:lvlJc w:val="left"/>
      <w:rPr>
        <w:rFonts w:hint="eastAsia"/>
      </w:rPr>
    </w:lvl>
  </w:abstractNum>
  <w:abstractNum w:abstractNumId="3">
    <w:nsid w:val="FC985558"/>
    <w:multiLevelType w:val="singleLevel"/>
    <w:tmpl w:val="FC985558"/>
    <w:lvl w:ilvl="0" w:tentative="0">
      <w:start w:val="2"/>
      <w:numFmt w:val="chineseCounting"/>
      <w:suff w:val="nothing"/>
      <w:lvlText w:val="（%1）"/>
      <w:lvlJc w:val="left"/>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1ODdhZWE5NDI2MmY3MDdmODk3YTYwNTJmYjgxOTcifQ=="/>
  </w:docVars>
  <w:rsids>
    <w:rsidRoot w:val="00731006"/>
    <w:rsid w:val="00004310"/>
    <w:rsid w:val="00011B8D"/>
    <w:rsid w:val="00020E21"/>
    <w:rsid w:val="000237CF"/>
    <w:rsid w:val="00024A5A"/>
    <w:rsid w:val="00026ACA"/>
    <w:rsid w:val="0004166E"/>
    <w:rsid w:val="00044D85"/>
    <w:rsid w:val="00046A1C"/>
    <w:rsid w:val="000652AB"/>
    <w:rsid w:val="00067E42"/>
    <w:rsid w:val="000725DB"/>
    <w:rsid w:val="000758DD"/>
    <w:rsid w:val="000768A2"/>
    <w:rsid w:val="000A026A"/>
    <w:rsid w:val="000B11B4"/>
    <w:rsid w:val="000E55E8"/>
    <w:rsid w:val="000E5AF0"/>
    <w:rsid w:val="000E714D"/>
    <w:rsid w:val="000F28B7"/>
    <w:rsid w:val="00112E86"/>
    <w:rsid w:val="001134CD"/>
    <w:rsid w:val="00117856"/>
    <w:rsid w:val="0011786C"/>
    <w:rsid w:val="00120246"/>
    <w:rsid w:val="00141E62"/>
    <w:rsid w:val="00152120"/>
    <w:rsid w:val="001522DA"/>
    <w:rsid w:val="00153C5C"/>
    <w:rsid w:val="00165AC5"/>
    <w:rsid w:val="00190DFF"/>
    <w:rsid w:val="00192565"/>
    <w:rsid w:val="0019604A"/>
    <w:rsid w:val="001A7536"/>
    <w:rsid w:val="001C0A0D"/>
    <w:rsid w:val="001D1BE1"/>
    <w:rsid w:val="001E1DCA"/>
    <w:rsid w:val="001E6300"/>
    <w:rsid w:val="001E7F53"/>
    <w:rsid w:val="001F50D6"/>
    <w:rsid w:val="00246D1F"/>
    <w:rsid w:val="00254932"/>
    <w:rsid w:val="002570D2"/>
    <w:rsid w:val="00257881"/>
    <w:rsid w:val="00260E32"/>
    <w:rsid w:val="00262C8A"/>
    <w:rsid w:val="00263513"/>
    <w:rsid w:val="0027225C"/>
    <w:rsid w:val="00274DA3"/>
    <w:rsid w:val="00277A91"/>
    <w:rsid w:val="0029464E"/>
    <w:rsid w:val="002B0A00"/>
    <w:rsid w:val="002C669C"/>
    <w:rsid w:val="002D6D43"/>
    <w:rsid w:val="002E73BD"/>
    <w:rsid w:val="002F56DB"/>
    <w:rsid w:val="003463CC"/>
    <w:rsid w:val="003514F0"/>
    <w:rsid w:val="00351B32"/>
    <w:rsid w:val="003647CF"/>
    <w:rsid w:val="00367498"/>
    <w:rsid w:val="00383097"/>
    <w:rsid w:val="00391928"/>
    <w:rsid w:val="00394001"/>
    <w:rsid w:val="003A4001"/>
    <w:rsid w:val="003B7431"/>
    <w:rsid w:val="003C4FFF"/>
    <w:rsid w:val="003D0BEF"/>
    <w:rsid w:val="003D3F4F"/>
    <w:rsid w:val="003E7239"/>
    <w:rsid w:val="003F5BB7"/>
    <w:rsid w:val="003F5C68"/>
    <w:rsid w:val="004048AD"/>
    <w:rsid w:val="004048F0"/>
    <w:rsid w:val="00406396"/>
    <w:rsid w:val="00411736"/>
    <w:rsid w:val="0042301E"/>
    <w:rsid w:val="004301D0"/>
    <w:rsid w:val="00435228"/>
    <w:rsid w:val="004604EC"/>
    <w:rsid w:val="0046335C"/>
    <w:rsid w:val="0047051B"/>
    <w:rsid w:val="00476E1A"/>
    <w:rsid w:val="00487FF4"/>
    <w:rsid w:val="0049294E"/>
    <w:rsid w:val="004B48CF"/>
    <w:rsid w:val="004B49A3"/>
    <w:rsid w:val="004B7E75"/>
    <w:rsid w:val="004C1EC8"/>
    <w:rsid w:val="004C1F5E"/>
    <w:rsid w:val="004D2B81"/>
    <w:rsid w:val="004F27AD"/>
    <w:rsid w:val="00500DA4"/>
    <w:rsid w:val="00504DC8"/>
    <w:rsid w:val="005160F4"/>
    <w:rsid w:val="00516971"/>
    <w:rsid w:val="00527563"/>
    <w:rsid w:val="0055030B"/>
    <w:rsid w:val="005513FC"/>
    <w:rsid w:val="00556A92"/>
    <w:rsid w:val="00562ECB"/>
    <w:rsid w:val="00571B4B"/>
    <w:rsid w:val="005733B6"/>
    <w:rsid w:val="005938FB"/>
    <w:rsid w:val="005B1C83"/>
    <w:rsid w:val="005B530A"/>
    <w:rsid w:val="005B7DE6"/>
    <w:rsid w:val="005D0736"/>
    <w:rsid w:val="005F669B"/>
    <w:rsid w:val="00604CAA"/>
    <w:rsid w:val="00613227"/>
    <w:rsid w:val="006167A0"/>
    <w:rsid w:val="00623B1A"/>
    <w:rsid w:val="006614CA"/>
    <w:rsid w:val="006616A6"/>
    <w:rsid w:val="00682C85"/>
    <w:rsid w:val="00696B85"/>
    <w:rsid w:val="006C083E"/>
    <w:rsid w:val="006D4FA6"/>
    <w:rsid w:val="006E03EF"/>
    <w:rsid w:val="006F094C"/>
    <w:rsid w:val="006F597C"/>
    <w:rsid w:val="00707008"/>
    <w:rsid w:val="007104F1"/>
    <w:rsid w:val="0072437C"/>
    <w:rsid w:val="00731006"/>
    <w:rsid w:val="00750216"/>
    <w:rsid w:val="007556CC"/>
    <w:rsid w:val="00773249"/>
    <w:rsid w:val="007921BC"/>
    <w:rsid w:val="007A130E"/>
    <w:rsid w:val="007A7F01"/>
    <w:rsid w:val="007B1657"/>
    <w:rsid w:val="007C26B7"/>
    <w:rsid w:val="008112D4"/>
    <w:rsid w:val="00814EF5"/>
    <w:rsid w:val="00815E5B"/>
    <w:rsid w:val="0083190F"/>
    <w:rsid w:val="00836E97"/>
    <w:rsid w:val="0085403E"/>
    <w:rsid w:val="008801A2"/>
    <w:rsid w:val="0088055F"/>
    <w:rsid w:val="008858E7"/>
    <w:rsid w:val="008875FF"/>
    <w:rsid w:val="008926D6"/>
    <w:rsid w:val="008A2496"/>
    <w:rsid w:val="008B2D8C"/>
    <w:rsid w:val="008D11D8"/>
    <w:rsid w:val="008D604D"/>
    <w:rsid w:val="008D7917"/>
    <w:rsid w:val="008F179F"/>
    <w:rsid w:val="00902DE6"/>
    <w:rsid w:val="00914AF0"/>
    <w:rsid w:val="00914CFB"/>
    <w:rsid w:val="00923471"/>
    <w:rsid w:val="009264FB"/>
    <w:rsid w:val="00930E2A"/>
    <w:rsid w:val="009476C3"/>
    <w:rsid w:val="009705FC"/>
    <w:rsid w:val="009766C8"/>
    <w:rsid w:val="00977BCB"/>
    <w:rsid w:val="00993A69"/>
    <w:rsid w:val="009A6166"/>
    <w:rsid w:val="009B20B2"/>
    <w:rsid w:val="009B6A2C"/>
    <w:rsid w:val="009D122A"/>
    <w:rsid w:val="009E27AB"/>
    <w:rsid w:val="009F2C4D"/>
    <w:rsid w:val="009F5BCC"/>
    <w:rsid w:val="00A075B5"/>
    <w:rsid w:val="00A4085C"/>
    <w:rsid w:val="00A53AC5"/>
    <w:rsid w:val="00A85D7B"/>
    <w:rsid w:val="00A9033D"/>
    <w:rsid w:val="00A92D62"/>
    <w:rsid w:val="00AA7370"/>
    <w:rsid w:val="00AB27F1"/>
    <w:rsid w:val="00AB2B69"/>
    <w:rsid w:val="00AC36AA"/>
    <w:rsid w:val="00AD3C1E"/>
    <w:rsid w:val="00AE5894"/>
    <w:rsid w:val="00B13307"/>
    <w:rsid w:val="00B23129"/>
    <w:rsid w:val="00B3504A"/>
    <w:rsid w:val="00B40E37"/>
    <w:rsid w:val="00B44470"/>
    <w:rsid w:val="00B54E1E"/>
    <w:rsid w:val="00B65753"/>
    <w:rsid w:val="00B83EE0"/>
    <w:rsid w:val="00BA216D"/>
    <w:rsid w:val="00BC61F0"/>
    <w:rsid w:val="00BD4C0F"/>
    <w:rsid w:val="00BD5723"/>
    <w:rsid w:val="00BE1429"/>
    <w:rsid w:val="00BE1B3F"/>
    <w:rsid w:val="00BE60A0"/>
    <w:rsid w:val="00C12FCB"/>
    <w:rsid w:val="00C71778"/>
    <w:rsid w:val="00C92499"/>
    <w:rsid w:val="00CA0FED"/>
    <w:rsid w:val="00CA4A00"/>
    <w:rsid w:val="00CB6DDC"/>
    <w:rsid w:val="00CC6874"/>
    <w:rsid w:val="00CD22C4"/>
    <w:rsid w:val="00CD2AFA"/>
    <w:rsid w:val="00CD509C"/>
    <w:rsid w:val="00CF26DD"/>
    <w:rsid w:val="00CF2BB9"/>
    <w:rsid w:val="00D104A7"/>
    <w:rsid w:val="00D14DB0"/>
    <w:rsid w:val="00D15DBA"/>
    <w:rsid w:val="00D246CD"/>
    <w:rsid w:val="00D415CE"/>
    <w:rsid w:val="00D44B5F"/>
    <w:rsid w:val="00D533D2"/>
    <w:rsid w:val="00D641CC"/>
    <w:rsid w:val="00D70FE7"/>
    <w:rsid w:val="00D737B2"/>
    <w:rsid w:val="00D86262"/>
    <w:rsid w:val="00D8654B"/>
    <w:rsid w:val="00DA017B"/>
    <w:rsid w:val="00DA4900"/>
    <w:rsid w:val="00DB21F4"/>
    <w:rsid w:val="00DC08C3"/>
    <w:rsid w:val="00DC5F2B"/>
    <w:rsid w:val="00DC622D"/>
    <w:rsid w:val="00DD099D"/>
    <w:rsid w:val="00DD1197"/>
    <w:rsid w:val="00DD27BF"/>
    <w:rsid w:val="00DD3CDA"/>
    <w:rsid w:val="00DD7E53"/>
    <w:rsid w:val="00DE592A"/>
    <w:rsid w:val="00DF3897"/>
    <w:rsid w:val="00E16FE1"/>
    <w:rsid w:val="00E24BCC"/>
    <w:rsid w:val="00E26B1D"/>
    <w:rsid w:val="00E37A7A"/>
    <w:rsid w:val="00E55BE5"/>
    <w:rsid w:val="00E71EFA"/>
    <w:rsid w:val="00E85D1F"/>
    <w:rsid w:val="00EA38CE"/>
    <w:rsid w:val="00EC348F"/>
    <w:rsid w:val="00EE0B70"/>
    <w:rsid w:val="00EE1D33"/>
    <w:rsid w:val="00EF3018"/>
    <w:rsid w:val="00F02C70"/>
    <w:rsid w:val="00F07FE2"/>
    <w:rsid w:val="00F266B7"/>
    <w:rsid w:val="00F466E6"/>
    <w:rsid w:val="00F53442"/>
    <w:rsid w:val="00F67E4B"/>
    <w:rsid w:val="00F72F45"/>
    <w:rsid w:val="00F9467E"/>
    <w:rsid w:val="00FB3D68"/>
    <w:rsid w:val="00FF47C1"/>
    <w:rsid w:val="011F2A47"/>
    <w:rsid w:val="01400C69"/>
    <w:rsid w:val="01892BD3"/>
    <w:rsid w:val="01AA5217"/>
    <w:rsid w:val="01B14F09"/>
    <w:rsid w:val="023D3627"/>
    <w:rsid w:val="02A97FD3"/>
    <w:rsid w:val="02C17BD4"/>
    <w:rsid w:val="02F634A5"/>
    <w:rsid w:val="03121818"/>
    <w:rsid w:val="03605133"/>
    <w:rsid w:val="03B16EFA"/>
    <w:rsid w:val="043D6C25"/>
    <w:rsid w:val="0459378E"/>
    <w:rsid w:val="046E5030"/>
    <w:rsid w:val="062067FE"/>
    <w:rsid w:val="063F0A13"/>
    <w:rsid w:val="07C33A75"/>
    <w:rsid w:val="07CA43E4"/>
    <w:rsid w:val="07D1224B"/>
    <w:rsid w:val="095742E5"/>
    <w:rsid w:val="095F548F"/>
    <w:rsid w:val="0A6273E5"/>
    <w:rsid w:val="0ADB1BA3"/>
    <w:rsid w:val="0AE37DDF"/>
    <w:rsid w:val="0B233E4B"/>
    <w:rsid w:val="0B9623F0"/>
    <w:rsid w:val="0BE27E2F"/>
    <w:rsid w:val="0C056DDF"/>
    <w:rsid w:val="0D021748"/>
    <w:rsid w:val="0DAA2F09"/>
    <w:rsid w:val="0E2A13FA"/>
    <w:rsid w:val="0E48700C"/>
    <w:rsid w:val="0E8C5C70"/>
    <w:rsid w:val="0F2D6C21"/>
    <w:rsid w:val="0F67724C"/>
    <w:rsid w:val="0F680A5F"/>
    <w:rsid w:val="101F6456"/>
    <w:rsid w:val="10C83D1A"/>
    <w:rsid w:val="113E5D8A"/>
    <w:rsid w:val="11F900C1"/>
    <w:rsid w:val="123D518D"/>
    <w:rsid w:val="127B2577"/>
    <w:rsid w:val="12B632E1"/>
    <w:rsid w:val="12EB47F1"/>
    <w:rsid w:val="14082DF4"/>
    <w:rsid w:val="15001CD4"/>
    <w:rsid w:val="158A16C0"/>
    <w:rsid w:val="15BC1405"/>
    <w:rsid w:val="15F835A6"/>
    <w:rsid w:val="16DB47A7"/>
    <w:rsid w:val="18DF798A"/>
    <w:rsid w:val="1952433A"/>
    <w:rsid w:val="19C41B53"/>
    <w:rsid w:val="19D13FFF"/>
    <w:rsid w:val="1B7A7838"/>
    <w:rsid w:val="1C0C59AF"/>
    <w:rsid w:val="1CD13188"/>
    <w:rsid w:val="1CF53A0D"/>
    <w:rsid w:val="1D1F047E"/>
    <w:rsid w:val="1D51771C"/>
    <w:rsid w:val="1D886B5D"/>
    <w:rsid w:val="1E632DE0"/>
    <w:rsid w:val="1E766B63"/>
    <w:rsid w:val="1EE91A2B"/>
    <w:rsid w:val="1F113376"/>
    <w:rsid w:val="1F4F5502"/>
    <w:rsid w:val="1F5B58A5"/>
    <w:rsid w:val="1F627232"/>
    <w:rsid w:val="1F8C6F93"/>
    <w:rsid w:val="20295BDD"/>
    <w:rsid w:val="207A50E8"/>
    <w:rsid w:val="20D90C8E"/>
    <w:rsid w:val="211A058B"/>
    <w:rsid w:val="211B1C44"/>
    <w:rsid w:val="211F0573"/>
    <w:rsid w:val="21EE6B08"/>
    <w:rsid w:val="220B450E"/>
    <w:rsid w:val="22251365"/>
    <w:rsid w:val="234F043D"/>
    <w:rsid w:val="23AA32D5"/>
    <w:rsid w:val="23CA146F"/>
    <w:rsid w:val="243F3E9B"/>
    <w:rsid w:val="24402431"/>
    <w:rsid w:val="24D539EA"/>
    <w:rsid w:val="26FD0D49"/>
    <w:rsid w:val="27395DE0"/>
    <w:rsid w:val="27B57D38"/>
    <w:rsid w:val="28177609"/>
    <w:rsid w:val="28497097"/>
    <w:rsid w:val="28A91EA2"/>
    <w:rsid w:val="296D3796"/>
    <w:rsid w:val="2A575917"/>
    <w:rsid w:val="2AA21F8F"/>
    <w:rsid w:val="2B2C5F47"/>
    <w:rsid w:val="2C6C77F8"/>
    <w:rsid w:val="2D3B33EE"/>
    <w:rsid w:val="2D731278"/>
    <w:rsid w:val="2D826C7A"/>
    <w:rsid w:val="2E0134AD"/>
    <w:rsid w:val="2E73037E"/>
    <w:rsid w:val="2E8E614B"/>
    <w:rsid w:val="2F063926"/>
    <w:rsid w:val="30415748"/>
    <w:rsid w:val="30671268"/>
    <w:rsid w:val="3080762A"/>
    <w:rsid w:val="31576CC8"/>
    <w:rsid w:val="31C93A88"/>
    <w:rsid w:val="31FA7745"/>
    <w:rsid w:val="331D76E7"/>
    <w:rsid w:val="33CC4CA2"/>
    <w:rsid w:val="341D62A5"/>
    <w:rsid w:val="354D466A"/>
    <w:rsid w:val="35846BEA"/>
    <w:rsid w:val="35860C9C"/>
    <w:rsid w:val="35F75434"/>
    <w:rsid w:val="35F805F4"/>
    <w:rsid w:val="36B461AB"/>
    <w:rsid w:val="36B60D24"/>
    <w:rsid w:val="36EA0114"/>
    <w:rsid w:val="37420806"/>
    <w:rsid w:val="37C345AD"/>
    <w:rsid w:val="37C93D50"/>
    <w:rsid w:val="383F0A8C"/>
    <w:rsid w:val="38635334"/>
    <w:rsid w:val="38CC4D97"/>
    <w:rsid w:val="39370E92"/>
    <w:rsid w:val="3A165D1E"/>
    <w:rsid w:val="3A566DA2"/>
    <w:rsid w:val="3B2C6819"/>
    <w:rsid w:val="3B312888"/>
    <w:rsid w:val="3BAB62C6"/>
    <w:rsid w:val="3BE10CAF"/>
    <w:rsid w:val="3C510C7B"/>
    <w:rsid w:val="3C9915BE"/>
    <w:rsid w:val="3D3E49AF"/>
    <w:rsid w:val="3D527577"/>
    <w:rsid w:val="3DCD381A"/>
    <w:rsid w:val="3EB63280"/>
    <w:rsid w:val="3F067638"/>
    <w:rsid w:val="3F42597F"/>
    <w:rsid w:val="3F7B7B8A"/>
    <w:rsid w:val="3FA622BA"/>
    <w:rsid w:val="3FC419CD"/>
    <w:rsid w:val="3FDD5DD9"/>
    <w:rsid w:val="3FE60146"/>
    <w:rsid w:val="40171C89"/>
    <w:rsid w:val="40A20EFE"/>
    <w:rsid w:val="40A75DF2"/>
    <w:rsid w:val="40A81755"/>
    <w:rsid w:val="43E97C54"/>
    <w:rsid w:val="44116EF6"/>
    <w:rsid w:val="442C7AAA"/>
    <w:rsid w:val="45513D03"/>
    <w:rsid w:val="461643C7"/>
    <w:rsid w:val="46515B20"/>
    <w:rsid w:val="46724ED1"/>
    <w:rsid w:val="469B7C23"/>
    <w:rsid w:val="46CE5A99"/>
    <w:rsid w:val="46ED5A14"/>
    <w:rsid w:val="47605A10"/>
    <w:rsid w:val="47906638"/>
    <w:rsid w:val="48730ED8"/>
    <w:rsid w:val="48BA396D"/>
    <w:rsid w:val="4A1F16DC"/>
    <w:rsid w:val="4A8B40DC"/>
    <w:rsid w:val="4C3F0FDA"/>
    <w:rsid w:val="4CE92319"/>
    <w:rsid w:val="4D6F4F13"/>
    <w:rsid w:val="4E3E712A"/>
    <w:rsid w:val="4F081B92"/>
    <w:rsid w:val="4F22226C"/>
    <w:rsid w:val="4F7963D4"/>
    <w:rsid w:val="4F824953"/>
    <w:rsid w:val="4FB355BA"/>
    <w:rsid w:val="502045F1"/>
    <w:rsid w:val="50BF2202"/>
    <w:rsid w:val="50CE5AA8"/>
    <w:rsid w:val="52007CE1"/>
    <w:rsid w:val="5267447F"/>
    <w:rsid w:val="52683902"/>
    <w:rsid w:val="52AE3CC5"/>
    <w:rsid w:val="52D21EE1"/>
    <w:rsid w:val="532952C2"/>
    <w:rsid w:val="541C0DB8"/>
    <w:rsid w:val="54617E32"/>
    <w:rsid w:val="546640DF"/>
    <w:rsid w:val="549057B6"/>
    <w:rsid w:val="54EB0B2C"/>
    <w:rsid w:val="55340A97"/>
    <w:rsid w:val="55A3797B"/>
    <w:rsid w:val="562F6B6B"/>
    <w:rsid w:val="575256B8"/>
    <w:rsid w:val="57FB3A3A"/>
    <w:rsid w:val="588315C7"/>
    <w:rsid w:val="598F52BB"/>
    <w:rsid w:val="5A441D8B"/>
    <w:rsid w:val="5A49507E"/>
    <w:rsid w:val="5A652ED1"/>
    <w:rsid w:val="5A923705"/>
    <w:rsid w:val="5AAC3332"/>
    <w:rsid w:val="5B48042D"/>
    <w:rsid w:val="5B8D4072"/>
    <w:rsid w:val="5B9D6319"/>
    <w:rsid w:val="5C1462B1"/>
    <w:rsid w:val="5D9F0AA4"/>
    <w:rsid w:val="5DC50992"/>
    <w:rsid w:val="5E3D49CC"/>
    <w:rsid w:val="5E5A43B7"/>
    <w:rsid w:val="5E960735"/>
    <w:rsid w:val="5F3F2740"/>
    <w:rsid w:val="608368E3"/>
    <w:rsid w:val="60BD1166"/>
    <w:rsid w:val="60BD4004"/>
    <w:rsid w:val="60CA6F46"/>
    <w:rsid w:val="621D6ED0"/>
    <w:rsid w:val="62580F50"/>
    <w:rsid w:val="62BC14D0"/>
    <w:rsid w:val="62DA4EE0"/>
    <w:rsid w:val="6378483D"/>
    <w:rsid w:val="63F40370"/>
    <w:rsid w:val="644C79E4"/>
    <w:rsid w:val="658B1D37"/>
    <w:rsid w:val="66346B36"/>
    <w:rsid w:val="664E0FB5"/>
    <w:rsid w:val="665B7BC3"/>
    <w:rsid w:val="66682803"/>
    <w:rsid w:val="668C4E54"/>
    <w:rsid w:val="66EE5C84"/>
    <w:rsid w:val="676E431C"/>
    <w:rsid w:val="67E3539F"/>
    <w:rsid w:val="69700539"/>
    <w:rsid w:val="699A52B8"/>
    <w:rsid w:val="6B8A6D77"/>
    <w:rsid w:val="6D80255D"/>
    <w:rsid w:val="6DC42A14"/>
    <w:rsid w:val="6E99612D"/>
    <w:rsid w:val="6F3F1566"/>
    <w:rsid w:val="6FA30C32"/>
    <w:rsid w:val="6FF70753"/>
    <w:rsid w:val="6FFF2342"/>
    <w:rsid w:val="700F6524"/>
    <w:rsid w:val="70C311EF"/>
    <w:rsid w:val="712824D8"/>
    <w:rsid w:val="716D6C1F"/>
    <w:rsid w:val="726B0282"/>
    <w:rsid w:val="726B6897"/>
    <w:rsid w:val="73931586"/>
    <w:rsid w:val="73B52DFF"/>
    <w:rsid w:val="74180ECA"/>
    <w:rsid w:val="74A73931"/>
    <w:rsid w:val="765953C0"/>
    <w:rsid w:val="769F0269"/>
    <w:rsid w:val="77AD2C99"/>
    <w:rsid w:val="79703A50"/>
    <w:rsid w:val="7A777060"/>
    <w:rsid w:val="7ABC15CC"/>
    <w:rsid w:val="7AD718AD"/>
    <w:rsid w:val="7B566C76"/>
    <w:rsid w:val="7B756BD1"/>
    <w:rsid w:val="7BA00C3C"/>
    <w:rsid w:val="7CC01A26"/>
    <w:rsid w:val="7DEC38C1"/>
    <w:rsid w:val="7E4707FF"/>
    <w:rsid w:val="7E62357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9"/>
    <w:qFormat/>
    <w:uiPriority w:val="9"/>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23"/>
    <w:semiHidden/>
    <w:unhideWhenUsed/>
    <w:qFormat/>
    <w:uiPriority w:val="99"/>
    <w:rPr>
      <w:sz w:val="18"/>
      <w:szCs w:val="18"/>
    </w:rPr>
  </w:style>
  <w:style w:type="paragraph" w:styleId="5">
    <w:name w:val="footer"/>
    <w:basedOn w:val="1"/>
    <w:link w:val="22"/>
    <w:unhideWhenUsed/>
    <w:qFormat/>
    <w:uiPriority w:val="99"/>
    <w:pPr>
      <w:tabs>
        <w:tab w:val="center" w:pos="4153"/>
        <w:tab w:val="right" w:pos="8306"/>
      </w:tabs>
      <w:snapToGrid w:val="0"/>
      <w:jc w:val="left"/>
    </w:pPr>
    <w:rPr>
      <w:sz w:val="18"/>
      <w:szCs w:val="18"/>
    </w:rPr>
  </w:style>
  <w:style w:type="paragraph" w:styleId="6">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jc w:val="left"/>
    </w:pPr>
    <w:rPr>
      <w:rFonts w:cs="Times New Roman"/>
      <w:kern w:val="0"/>
    </w:rPr>
  </w:style>
  <w:style w:type="table" w:styleId="9">
    <w:name w:val="Table Grid"/>
    <w:basedOn w:val="8"/>
    <w:qFormat/>
    <w:uiPriority w:val="59"/>
    <w:rPr>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Strong"/>
    <w:basedOn w:val="10"/>
    <w:qFormat/>
    <w:uiPriority w:val="22"/>
    <w:rPr>
      <w:b/>
      <w:bCs/>
    </w:rPr>
  </w:style>
  <w:style w:type="character" w:styleId="12">
    <w:name w:val="FollowedHyperlink"/>
    <w:basedOn w:val="10"/>
    <w:semiHidden/>
    <w:unhideWhenUsed/>
    <w:qFormat/>
    <w:uiPriority w:val="99"/>
    <w:rPr>
      <w:color w:val="800080"/>
      <w:u w:val="none"/>
    </w:rPr>
  </w:style>
  <w:style w:type="character" w:styleId="13">
    <w:name w:val="Emphasis"/>
    <w:basedOn w:val="10"/>
    <w:qFormat/>
    <w:uiPriority w:val="0"/>
    <w:rPr>
      <w:i/>
    </w:rPr>
  </w:style>
  <w:style w:type="character" w:styleId="14">
    <w:name w:val="HTML Definition"/>
    <w:basedOn w:val="10"/>
    <w:semiHidden/>
    <w:unhideWhenUsed/>
    <w:qFormat/>
    <w:uiPriority w:val="99"/>
    <w:rPr>
      <w:i/>
    </w:rPr>
  </w:style>
  <w:style w:type="character" w:styleId="15">
    <w:name w:val="Hyperlink"/>
    <w:basedOn w:val="10"/>
    <w:qFormat/>
    <w:uiPriority w:val="0"/>
    <w:rPr>
      <w:color w:val="0000FF"/>
      <w:u w:val="single"/>
    </w:rPr>
  </w:style>
  <w:style w:type="character" w:styleId="16">
    <w:name w:val="HTML Code"/>
    <w:basedOn w:val="10"/>
    <w:semiHidden/>
    <w:unhideWhenUsed/>
    <w:qFormat/>
    <w:uiPriority w:val="99"/>
    <w:rPr>
      <w:rFonts w:ascii="Consolas" w:hAnsi="Consolas" w:eastAsia="Consolas" w:cs="Consolas"/>
      <w:color w:val="C7254E"/>
      <w:sz w:val="21"/>
      <w:szCs w:val="21"/>
      <w:shd w:val="clear" w:color="auto" w:fill="F9F2F4"/>
    </w:rPr>
  </w:style>
  <w:style w:type="character" w:styleId="17">
    <w:name w:val="HTML Keyboard"/>
    <w:basedOn w:val="10"/>
    <w:semiHidden/>
    <w:unhideWhenUsed/>
    <w:qFormat/>
    <w:uiPriority w:val="99"/>
    <w:rPr>
      <w:rFonts w:hint="default" w:ascii="Consolas" w:hAnsi="Consolas" w:eastAsia="Consolas" w:cs="Consolas"/>
      <w:color w:val="FFFFFF"/>
      <w:sz w:val="21"/>
      <w:szCs w:val="21"/>
      <w:shd w:val="clear" w:color="auto" w:fill="333333"/>
    </w:rPr>
  </w:style>
  <w:style w:type="character" w:styleId="18">
    <w:name w:val="HTML Sample"/>
    <w:basedOn w:val="10"/>
    <w:semiHidden/>
    <w:unhideWhenUsed/>
    <w:qFormat/>
    <w:uiPriority w:val="99"/>
    <w:rPr>
      <w:rFonts w:hint="default" w:ascii="Consolas" w:hAnsi="Consolas" w:eastAsia="Consolas" w:cs="Consolas"/>
      <w:sz w:val="21"/>
      <w:szCs w:val="21"/>
    </w:rPr>
  </w:style>
  <w:style w:type="character" w:customStyle="1" w:styleId="19">
    <w:name w:val="标题 1 Char"/>
    <w:basedOn w:val="10"/>
    <w:link w:val="2"/>
    <w:qFormat/>
    <w:uiPriority w:val="9"/>
    <w:rPr>
      <w:rFonts w:ascii="Times New Roman" w:hAnsi="Times New Roman" w:cs="Times New Roman"/>
      <w:b/>
      <w:bCs/>
      <w:kern w:val="36"/>
      <w:sz w:val="48"/>
      <w:szCs w:val="48"/>
    </w:rPr>
  </w:style>
  <w:style w:type="paragraph" w:customStyle="1" w:styleId="20">
    <w:name w:val="custom_unionstyle"/>
    <w:basedOn w:val="1"/>
    <w:qFormat/>
    <w:uiPriority w:val="0"/>
    <w:pPr>
      <w:widowControl/>
      <w:spacing w:before="100" w:beforeAutospacing="1" w:after="100" w:afterAutospacing="1"/>
      <w:jc w:val="left"/>
    </w:pPr>
    <w:rPr>
      <w:rFonts w:ascii="Times New Roman" w:hAnsi="Times New Roman" w:cs="Times New Roman"/>
      <w:kern w:val="0"/>
    </w:rPr>
  </w:style>
  <w:style w:type="character" w:customStyle="1" w:styleId="21">
    <w:name w:val="页眉 Char"/>
    <w:basedOn w:val="10"/>
    <w:link w:val="6"/>
    <w:qFormat/>
    <w:uiPriority w:val="99"/>
    <w:rPr>
      <w:sz w:val="18"/>
      <w:szCs w:val="18"/>
    </w:rPr>
  </w:style>
  <w:style w:type="character" w:customStyle="1" w:styleId="22">
    <w:name w:val="页脚 Char"/>
    <w:basedOn w:val="10"/>
    <w:link w:val="5"/>
    <w:qFormat/>
    <w:uiPriority w:val="99"/>
    <w:rPr>
      <w:sz w:val="18"/>
      <w:szCs w:val="18"/>
    </w:rPr>
  </w:style>
  <w:style w:type="character" w:customStyle="1" w:styleId="23">
    <w:name w:val="批注框文本 Char"/>
    <w:basedOn w:val="10"/>
    <w:link w:val="4"/>
    <w:semiHidden/>
    <w:qFormat/>
    <w:uiPriority w:val="99"/>
    <w:rPr>
      <w:kern w:val="2"/>
      <w:sz w:val="18"/>
      <w:szCs w:val="18"/>
    </w:rPr>
  </w:style>
  <w:style w:type="paragraph" w:customStyle="1" w:styleId="24">
    <w:name w:val="p0"/>
    <w:basedOn w:val="1"/>
    <w:qFormat/>
    <w:uiPriority w:val="0"/>
    <w:pPr>
      <w:widowControl/>
    </w:pPr>
    <w:rPr>
      <w:kern w:val="0"/>
      <w:szCs w:val="21"/>
    </w:rPr>
  </w:style>
  <w:style w:type="character" w:customStyle="1" w:styleId="25">
    <w:name w:val="nth-child(1)"/>
    <w:basedOn w:val="10"/>
    <w:qFormat/>
    <w:uiPriority w:val="0"/>
  </w:style>
  <w:style w:type="character" w:customStyle="1" w:styleId="26">
    <w:name w:val="nth-child(1)1"/>
    <w:basedOn w:val="10"/>
    <w:qFormat/>
    <w:uiPriority w:val="0"/>
    <w:rPr>
      <w:bdr w:val="single" w:color="auto" w:sz="12" w:space="0"/>
    </w:rPr>
  </w:style>
  <w:style w:type="character" w:customStyle="1" w:styleId="27">
    <w:name w:val="last-child1"/>
    <w:basedOn w:val="10"/>
    <w:qFormat/>
    <w:uiPriority w:val="0"/>
    <w:rPr>
      <w:color w:val="FB334B"/>
    </w:rPr>
  </w:style>
  <w:style w:type="character" w:customStyle="1" w:styleId="28">
    <w:name w:val="nth-child(3)"/>
    <w:basedOn w:val="10"/>
    <w:qFormat/>
    <w:uiPriority w:val="0"/>
  </w:style>
  <w:style w:type="character" w:customStyle="1" w:styleId="29">
    <w:name w:val="first-child"/>
    <w:basedOn w:val="10"/>
    <w:qFormat/>
    <w:uiPriority w:val="0"/>
    <w:rPr>
      <w:color w:val="999999"/>
    </w:rPr>
  </w:style>
  <w:style w:type="paragraph" w:customStyle="1" w:styleId="30">
    <w:name w:val="Default"/>
    <w:unhideWhenUsed/>
    <w:qFormat/>
    <w:uiPriority w:val="0"/>
    <w:pPr>
      <w:widowControl w:val="0"/>
      <w:autoSpaceDE w:val="0"/>
      <w:autoSpaceDN w:val="0"/>
      <w:adjustRightInd w:val="0"/>
      <w:snapToGrid w:val="0"/>
      <w:spacing w:line="360" w:lineRule="auto"/>
      <w:ind w:firstLine="560" w:firstLineChars="200"/>
      <w:jc w:val="both"/>
    </w:pPr>
    <w:rPr>
      <w:rFonts w:hint="eastAsia" w:ascii="宋体" w:hAnsi="宋体" w:eastAsiaTheme="minorEastAsia" w:cstheme="minorBidi"/>
      <w:color w:val="000000"/>
      <w:sz w:val="24"/>
      <w:szCs w:val="22"/>
      <w:lang w:val="en-US" w:eastAsia="zh-CN" w:bidi="ar-SA"/>
    </w:rPr>
  </w:style>
  <w:style w:type="character" w:customStyle="1" w:styleId="31">
    <w:name w:val="font71"/>
    <w:basedOn w:val="10"/>
    <w:qFormat/>
    <w:uiPriority w:val="0"/>
    <w:rPr>
      <w:rFonts w:hint="eastAsia" w:ascii="微软雅黑" w:hAnsi="微软雅黑" w:eastAsia="微软雅黑" w:cs="微软雅黑"/>
      <w:color w:val="000000"/>
      <w:sz w:val="20"/>
      <w:szCs w:val="20"/>
      <w:u w:val="none"/>
    </w:rPr>
  </w:style>
  <w:style w:type="character" w:customStyle="1" w:styleId="32">
    <w:name w:val="font131"/>
    <w:basedOn w:val="10"/>
    <w:qFormat/>
    <w:uiPriority w:val="0"/>
    <w:rPr>
      <w:rFonts w:hint="default" w:ascii="Times New Roman" w:hAnsi="Times New Roman" w:cs="Times New Roman"/>
      <w:color w:val="000000"/>
      <w:sz w:val="20"/>
      <w:szCs w:val="20"/>
      <w:u w:val="none"/>
    </w:rPr>
  </w:style>
  <w:style w:type="character" w:customStyle="1" w:styleId="33">
    <w:name w:val="font141"/>
    <w:basedOn w:val="10"/>
    <w:qFormat/>
    <w:uiPriority w:val="0"/>
    <w:rPr>
      <w:rFonts w:ascii="微软雅黑" w:hAnsi="微软雅黑" w:eastAsia="微软雅黑" w:cs="微软雅黑"/>
      <w:color w:val="333333"/>
      <w:sz w:val="24"/>
      <w:szCs w:val="24"/>
      <w:u w:val="none"/>
    </w:rPr>
  </w:style>
  <w:style w:type="character" w:customStyle="1" w:styleId="34">
    <w:name w:val="font81"/>
    <w:basedOn w:val="10"/>
    <w:qFormat/>
    <w:uiPriority w:val="0"/>
    <w:rPr>
      <w:rFonts w:hint="eastAsia" w:ascii="黑体" w:hAnsi="宋体" w:eastAsia="黑体" w:cs="黑体"/>
      <w:color w:val="333333"/>
      <w:sz w:val="24"/>
      <w:szCs w:val="24"/>
      <w:u w:val="none"/>
    </w:rPr>
  </w:style>
  <w:style w:type="character" w:customStyle="1" w:styleId="35">
    <w:name w:val="font151"/>
    <w:basedOn w:val="10"/>
    <w:qFormat/>
    <w:uiPriority w:val="0"/>
    <w:rPr>
      <w:rFonts w:hint="eastAsia" w:ascii="黑体" w:hAnsi="宋体" w:eastAsia="黑体" w:cs="黑体"/>
      <w:b/>
      <w:bCs/>
      <w:color w:val="888888"/>
      <w:sz w:val="24"/>
      <w:szCs w:val="24"/>
      <w:u w:val="none"/>
    </w:rPr>
  </w:style>
  <w:style w:type="character" w:customStyle="1" w:styleId="36">
    <w:name w:val="font91"/>
    <w:basedOn w:val="10"/>
    <w:qFormat/>
    <w:uiPriority w:val="0"/>
    <w:rPr>
      <w:rFonts w:hint="eastAsia" w:ascii="黑体" w:hAnsi="宋体" w:eastAsia="黑体" w:cs="黑体"/>
      <w:color w:val="888888"/>
      <w:sz w:val="24"/>
      <w:szCs w:val="24"/>
      <w:u w:val="none"/>
    </w:rPr>
  </w:style>
  <w:style w:type="character" w:customStyle="1" w:styleId="37">
    <w:name w:val="font161"/>
    <w:basedOn w:val="10"/>
    <w:qFormat/>
    <w:uiPriority w:val="0"/>
    <w:rPr>
      <w:rFonts w:ascii="Arial" w:hAnsi="Arial" w:cs="Arial"/>
      <w:color w:val="888888"/>
      <w:sz w:val="24"/>
      <w:szCs w:val="24"/>
      <w:u w:val="none"/>
    </w:rPr>
  </w:style>
  <w:style w:type="paragraph" w:styleId="3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10</Pages>
  <Words>3056</Words>
  <Characters>3309</Characters>
  <Lines>31</Lines>
  <Paragraphs>8</Paragraphs>
  <TotalTime>0</TotalTime>
  <ScaleCrop>false</ScaleCrop>
  <LinksUpToDate>false</LinksUpToDate>
  <CharactersWithSpaces>3315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2024-12-16T07:48:00Z</dcterms:created>
  <dc:creator>hao tong</dc:creator>
  <cp:lastModifiedBy>RAINY</cp:lastModifiedBy>
  <cp:lastPrinted>2026-05-20T06:39:00Z</cp:lastPrinted>
  <dcterms:modified xsi:type="dcterms:W3CDTF">2026-05-22T01:34:14Z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81AA0C08DD044F1CADCCE6CB2FB86396_13</vt:lpwstr>
  </property>
  <property fmtid="{D5CDD505-2E9C-101B-9397-08002B2CF9AE}" pid="4" name="KSOTemplateDocerSaveRecord">
    <vt:lpwstr>eyJoZGlkIjoiMjUyMThhZTczYjVmZmFjMmJkZDU1ZTg3ZjY5YmE3YTkiLCJ1c2VySWQiOiIyNjczMTkzODQifQ==</vt:lpwstr>
  </property>
</Properties>
</file>